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sz w:val="44"/>
          <w:szCs w:val="44"/>
        </w:rPr>
      </w:pPr>
      <w:r>
        <w:rPr>
          <w:rFonts w:hint="eastAsia"/>
          <w:sz w:val="30"/>
          <w:szCs w:val="30"/>
          <w:lang w:val="en-US" w:eastAsia="zh-CN"/>
        </w:rPr>
        <w:t>附件1：</w:t>
      </w:r>
      <w:r>
        <w:rPr>
          <w:rFonts w:hint="eastAsia"/>
          <w:b/>
          <w:bCs/>
          <w:sz w:val="44"/>
          <w:szCs w:val="44"/>
          <w:lang w:val="en-US" w:eastAsia="zh-CN"/>
        </w:rPr>
        <w:t xml:space="preserve">                     </w:t>
      </w:r>
      <w:r>
        <w:rPr>
          <w:rFonts w:hint="eastAsia"/>
          <w:b/>
          <w:bCs/>
          <w:sz w:val="44"/>
          <w:szCs w:val="44"/>
        </w:rPr>
        <w:t>合同要素清单</w:t>
      </w:r>
    </w:p>
    <w:p>
      <w:pPr>
        <w:rPr>
          <w:sz w:val="30"/>
          <w:szCs w:val="30"/>
        </w:rPr>
      </w:pPr>
    </w:p>
    <w:p>
      <w:pPr>
        <w:rPr>
          <w:b/>
          <w:bCs/>
          <w:sz w:val="30"/>
          <w:szCs w:val="30"/>
        </w:rPr>
      </w:pPr>
      <w:r>
        <w:rPr>
          <w:rFonts w:hint="eastAsia"/>
          <w:b/>
          <w:bCs/>
          <w:sz w:val="30"/>
          <w:szCs w:val="30"/>
        </w:rPr>
        <w:t>说明：</w:t>
      </w:r>
    </w:p>
    <w:p>
      <w:pPr>
        <w:rPr>
          <w:sz w:val="30"/>
          <w:szCs w:val="30"/>
        </w:rPr>
      </w:pPr>
      <w:r>
        <w:rPr>
          <w:rFonts w:hint="eastAsia"/>
          <w:sz w:val="30"/>
          <w:szCs w:val="30"/>
        </w:rPr>
        <w:t>1.本合同要素清单系基于研究所常用合同（采购合同、技术合同）制作，旨在概括性梳理合同应包含的主要要素及需注意的事项，因研究所合同种类繁多，其他合同的特殊规定并未全部涵盖；</w:t>
      </w:r>
    </w:p>
    <w:p>
      <w:pPr>
        <w:rPr>
          <w:sz w:val="30"/>
          <w:szCs w:val="30"/>
        </w:rPr>
      </w:pPr>
      <w:r>
        <w:rPr>
          <w:rFonts w:hint="eastAsia"/>
          <w:sz w:val="30"/>
          <w:szCs w:val="30"/>
        </w:rPr>
        <w:t>2.本清单所列要素内容可根据具体事项进行调整和增补、删减，示例仅供参考；</w:t>
      </w:r>
    </w:p>
    <w:p>
      <w:pPr>
        <w:rPr>
          <w:sz w:val="30"/>
          <w:szCs w:val="30"/>
        </w:rPr>
      </w:pPr>
      <w:r>
        <w:rPr>
          <w:rFonts w:hint="eastAsia"/>
          <w:sz w:val="30"/>
          <w:szCs w:val="30"/>
        </w:rPr>
        <w:t>3.示例一主要针对采购类合同，示例二主要针对技术合同；</w:t>
      </w:r>
    </w:p>
    <w:p>
      <w:pPr>
        <w:rPr>
          <w:sz w:val="30"/>
          <w:szCs w:val="30"/>
        </w:rPr>
      </w:pPr>
      <w:r>
        <w:rPr>
          <w:rFonts w:hint="eastAsia"/>
          <w:sz w:val="30"/>
          <w:szCs w:val="30"/>
        </w:rPr>
        <w:t>4.合同具体内容和样式可参考合同模版，相关链接：</w:t>
      </w:r>
    </w:p>
    <w:p>
      <w:pPr>
        <w:rPr>
          <w:sz w:val="30"/>
          <w:szCs w:val="30"/>
        </w:rPr>
      </w:pPr>
      <w:r>
        <w:rPr>
          <w:sz w:val="30"/>
          <w:szCs w:val="30"/>
        </w:rPr>
        <w:t>http://www.bgs.dicp.ac.cn/dpzw.jsp?urltype=tree.TreeTempUrl&amp;wbtreeid=1218</w:t>
      </w:r>
      <w:r>
        <w:rPr>
          <w:rFonts w:hint="eastAsia"/>
          <w:sz w:val="30"/>
          <w:szCs w:val="30"/>
        </w:rPr>
        <w:t>；</w:t>
      </w:r>
    </w:p>
    <w:p>
      <w:pPr>
        <w:rPr>
          <w:sz w:val="30"/>
          <w:szCs w:val="30"/>
        </w:rPr>
      </w:pPr>
      <w:r>
        <w:rPr>
          <w:rFonts w:hint="eastAsia"/>
          <w:sz w:val="30"/>
          <w:szCs w:val="30"/>
        </w:rPr>
        <w:t>5.本合同要素清单仅供中国科学院大连化学物理研究所内部使用，请勿外传。</w:t>
      </w:r>
    </w:p>
    <w:p>
      <w:pPr>
        <w:rPr>
          <w:b/>
          <w:bCs/>
          <w:sz w:val="28"/>
          <w:szCs w:val="28"/>
        </w:rPr>
      </w:pPr>
      <w:bookmarkStart w:id="0" w:name="_GoBack"/>
      <w:bookmarkEnd w:id="0"/>
    </w:p>
    <w:p>
      <w:pPr>
        <w:rPr>
          <w:b/>
          <w:bCs/>
          <w:sz w:val="28"/>
          <w:szCs w:val="28"/>
        </w:rPr>
      </w:pPr>
    </w:p>
    <w:p>
      <w:pPr>
        <w:rPr>
          <w:b/>
          <w:bCs/>
          <w:sz w:val="28"/>
          <w:szCs w:val="28"/>
        </w:rPr>
      </w:pPr>
    </w:p>
    <w:p>
      <w:pPr>
        <w:rPr>
          <w:b/>
          <w:bCs/>
          <w:sz w:val="28"/>
          <w:szCs w:val="28"/>
        </w:rPr>
      </w:pPr>
    </w:p>
    <w:tbl>
      <w:tblPr>
        <w:tblStyle w:val="14"/>
        <w:tblW w:w="1431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3686"/>
        <w:gridCol w:w="5811"/>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18" w:type="dxa"/>
            <w:tcBorders>
              <w:top w:val="nil"/>
              <w:left w:val="nil"/>
              <w:right w:val="nil"/>
              <w:insideV w:val="nil"/>
            </w:tcBorders>
            <w:shd w:val="clear" w:color="auto" w:fill="5B9BD5" w:themeFill="accent5"/>
            <w:vAlign w:val="center"/>
          </w:tcPr>
          <w:p>
            <w:pPr>
              <w:jc w:val="center"/>
              <w:rPr>
                <w:b w:val="0"/>
                <w:bCs w:val="0"/>
                <w:color w:val="FFFFFF" w:themeColor="background1"/>
                <w:sz w:val="28"/>
                <w:szCs w:val="28"/>
                <w14:textFill>
                  <w14:solidFill>
                    <w14:schemeClr w14:val="bg1"/>
                  </w14:solidFill>
                </w14:textFill>
              </w:rPr>
            </w:pPr>
            <w:r>
              <w:rPr>
                <w:rFonts w:hint="eastAsia"/>
                <w:b/>
                <w:bCs/>
                <w:color w:val="FFFFFF" w:themeColor="background1"/>
                <w:sz w:val="28"/>
                <w:szCs w:val="28"/>
                <w14:textFill>
                  <w14:solidFill>
                    <w14:schemeClr w14:val="bg1"/>
                  </w14:solidFill>
                </w14:textFill>
              </w:rPr>
              <w:t>要素名称</w:t>
            </w:r>
          </w:p>
        </w:tc>
        <w:tc>
          <w:tcPr>
            <w:tcW w:w="3686" w:type="dxa"/>
            <w:tcBorders>
              <w:top w:val="nil"/>
              <w:left w:val="nil"/>
              <w:right w:val="nil"/>
              <w:insideV w:val="nil"/>
            </w:tcBorders>
            <w:shd w:val="clear" w:color="auto" w:fill="5B9BD5" w:themeFill="accent5"/>
            <w:vAlign w:val="center"/>
          </w:tcPr>
          <w:p>
            <w:pPr>
              <w:jc w:val="center"/>
              <w:rPr>
                <w:b w:val="0"/>
                <w:bCs w:val="0"/>
                <w:color w:val="FFFFFF" w:themeColor="background1"/>
                <w:sz w:val="28"/>
                <w:szCs w:val="28"/>
                <w14:textFill>
                  <w14:solidFill>
                    <w14:schemeClr w14:val="bg1"/>
                  </w14:solidFill>
                </w14:textFill>
              </w:rPr>
            </w:pPr>
            <w:r>
              <w:rPr>
                <w:rFonts w:hint="eastAsia"/>
                <w:b/>
                <w:bCs/>
                <w:color w:val="FFFFFF" w:themeColor="background1"/>
                <w:sz w:val="28"/>
                <w:szCs w:val="28"/>
                <w14:textFill>
                  <w14:solidFill>
                    <w14:schemeClr w14:val="bg1"/>
                  </w14:solidFill>
                </w14:textFill>
              </w:rPr>
              <w:t>具体内容</w:t>
            </w:r>
          </w:p>
        </w:tc>
        <w:tc>
          <w:tcPr>
            <w:tcW w:w="5811" w:type="dxa"/>
            <w:tcBorders>
              <w:top w:val="nil"/>
              <w:left w:val="nil"/>
              <w:right w:val="nil"/>
              <w:insideV w:val="nil"/>
            </w:tcBorders>
            <w:shd w:val="clear" w:color="auto" w:fill="5B9BD5" w:themeFill="accent5"/>
            <w:vAlign w:val="center"/>
          </w:tcPr>
          <w:p>
            <w:pPr>
              <w:jc w:val="center"/>
              <w:rPr>
                <w:b w:val="0"/>
                <w:bCs w:val="0"/>
                <w:color w:val="FFFFFF" w:themeColor="background1"/>
                <w:sz w:val="28"/>
                <w:szCs w:val="28"/>
                <w14:textFill>
                  <w14:solidFill>
                    <w14:schemeClr w14:val="bg1"/>
                  </w14:solidFill>
                </w14:textFill>
              </w:rPr>
            </w:pPr>
            <w:r>
              <w:rPr>
                <w:rFonts w:hint="eastAsia"/>
                <w:b/>
                <w:bCs/>
                <w:color w:val="FFFFFF" w:themeColor="background1"/>
                <w:sz w:val="28"/>
                <w:szCs w:val="28"/>
                <w14:textFill>
                  <w14:solidFill>
                    <w14:schemeClr w14:val="bg1"/>
                  </w14:solidFill>
                </w14:textFill>
              </w:rPr>
              <w:t>示例</w:t>
            </w:r>
          </w:p>
        </w:tc>
        <w:tc>
          <w:tcPr>
            <w:tcW w:w="3402" w:type="dxa"/>
            <w:tcBorders>
              <w:top w:val="nil"/>
              <w:left w:val="nil"/>
              <w:right w:val="nil"/>
              <w:insideV w:val="nil"/>
            </w:tcBorders>
            <w:shd w:val="clear" w:color="auto" w:fill="5B9BD5" w:themeFill="accent5"/>
            <w:vAlign w:val="center"/>
          </w:tcPr>
          <w:p>
            <w:pPr>
              <w:jc w:val="center"/>
              <w:rPr>
                <w:b w:val="0"/>
                <w:bCs w:val="0"/>
                <w:color w:val="FFFFFF" w:themeColor="background1"/>
                <w:sz w:val="28"/>
                <w:szCs w:val="28"/>
                <w14:textFill>
                  <w14:solidFill>
                    <w14:schemeClr w14:val="bg1"/>
                  </w14:solidFill>
                </w14:textFill>
              </w:rPr>
            </w:pPr>
            <w:r>
              <w:rPr>
                <w:rFonts w:hint="eastAsia"/>
                <w:b/>
                <w:bCs/>
                <w:color w:val="FFFFFF" w:themeColor="background1"/>
                <w:sz w:val="28"/>
                <w:szCs w:val="28"/>
                <w14:textFill>
                  <w14:solidFill>
                    <w14:schemeClr w14:val="bg1"/>
                  </w14:solidFill>
                </w14:textFill>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1418" w:type="dxa"/>
            <w:tcBorders>
              <w:left w:val="nil"/>
            </w:tcBorders>
            <w:shd w:val="clear" w:color="auto" w:fill="5B9BD5" w:themeFill="accent5"/>
            <w:vAlign w:val="center"/>
          </w:tcPr>
          <w:p>
            <w:pPr>
              <w:jc w:val="center"/>
              <w:rPr>
                <w:b/>
                <w:bCs/>
                <w:color w:val="FFFFFF" w:themeColor="background1"/>
                <w:sz w:val="28"/>
                <w:szCs w:val="28"/>
                <w14:textFill>
                  <w14:solidFill>
                    <w14:schemeClr w14:val="bg1"/>
                  </w14:solidFill>
                </w14:textFill>
              </w:rPr>
            </w:pPr>
            <w:r>
              <w:rPr>
                <w:rFonts w:hint="eastAsia"/>
                <w:b/>
                <w:bCs/>
                <w:color w:val="FFFFFF" w:themeColor="background1"/>
                <w:sz w:val="28"/>
                <w:szCs w:val="28"/>
                <w14:textFill>
                  <w14:solidFill>
                    <w14:schemeClr w14:val="bg1"/>
                  </w14:solidFill>
                </w14:textFill>
              </w:rPr>
              <w:t>合同主体</w:t>
            </w:r>
          </w:p>
        </w:tc>
        <w:tc>
          <w:tcPr>
            <w:tcW w:w="3686" w:type="dxa"/>
            <w:shd w:val="clear" w:color="auto" w:fill="BDD6EE" w:themeFill="accent5" w:themeFillTint="66"/>
            <w:vAlign w:val="center"/>
          </w:tcPr>
          <w:p>
            <w:pPr>
              <w:rPr>
                <w:sz w:val="24"/>
                <w:szCs w:val="24"/>
              </w:rPr>
            </w:pPr>
            <w:r>
              <w:rPr>
                <w:rFonts w:hint="eastAsia"/>
                <w:sz w:val="24"/>
                <w:szCs w:val="24"/>
              </w:rPr>
              <w:t>1.主体名称；</w:t>
            </w:r>
          </w:p>
          <w:p>
            <w:pPr>
              <w:rPr>
                <w:sz w:val="24"/>
                <w:szCs w:val="24"/>
              </w:rPr>
            </w:pPr>
            <w:r>
              <w:rPr>
                <w:rFonts w:hint="eastAsia"/>
                <w:sz w:val="24"/>
                <w:szCs w:val="24"/>
              </w:rPr>
              <w:t>2.住所地；</w:t>
            </w:r>
          </w:p>
          <w:p>
            <w:pPr>
              <w:rPr>
                <w:sz w:val="24"/>
                <w:szCs w:val="24"/>
              </w:rPr>
            </w:pPr>
            <w:r>
              <w:rPr>
                <w:rFonts w:hint="eastAsia"/>
                <w:sz w:val="24"/>
                <w:szCs w:val="24"/>
              </w:rPr>
              <w:t>3.法定代表人；</w:t>
            </w:r>
          </w:p>
          <w:p>
            <w:pPr>
              <w:rPr>
                <w:sz w:val="24"/>
                <w:szCs w:val="24"/>
              </w:rPr>
            </w:pPr>
            <w:r>
              <w:rPr>
                <w:rFonts w:hint="eastAsia"/>
                <w:sz w:val="24"/>
                <w:szCs w:val="24"/>
              </w:rPr>
              <w:t>4.统一社会信用代码。</w:t>
            </w:r>
          </w:p>
          <w:p>
            <w:pPr>
              <w:rPr>
                <w:sz w:val="24"/>
                <w:szCs w:val="24"/>
              </w:rPr>
            </w:pPr>
          </w:p>
          <w:p>
            <w:pPr>
              <w:rPr>
                <w:sz w:val="24"/>
                <w:szCs w:val="24"/>
              </w:rPr>
            </w:pPr>
          </w:p>
        </w:tc>
        <w:tc>
          <w:tcPr>
            <w:tcW w:w="5811" w:type="dxa"/>
            <w:shd w:val="clear" w:color="auto" w:fill="BDD6EE" w:themeFill="accent5" w:themeFillTint="66"/>
            <w:vAlign w:val="center"/>
          </w:tcPr>
          <w:p>
            <w:pPr>
              <w:rPr>
                <w:sz w:val="24"/>
                <w:szCs w:val="24"/>
              </w:rPr>
            </w:pPr>
            <w:r>
              <w:rPr>
                <w:rFonts w:hint="eastAsia"/>
                <w:sz w:val="24"/>
                <w:szCs w:val="24"/>
              </w:rPr>
              <w:t>甲方：大连市XX有限公司</w:t>
            </w:r>
          </w:p>
          <w:p>
            <w:pPr>
              <w:rPr>
                <w:sz w:val="24"/>
                <w:szCs w:val="24"/>
              </w:rPr>
            </w:pPr>
            <w:r>
              <w:rPr>
                <w:rFonts w:hint="eastAsia"/>
                <w:sz w:val="24"/>
                <w:szCs w:val="24"/>
              </w:rPr>
              <w:t>住所地：大连市沙河口区XX</w:t>
            </w:r>
          </w:p>
          <w:p>
            <w:pPr>
              <w:rPr>
                <w:sz w:val="24"/>
                <w:szCs w:val="24"/>
              </w:rPr>
            </w:pPr>
            <w:r>
              <w:rPr>
                <w:rFonts w:hint="eastAsia"/>
                <w:sz w:val="24"/>
                <w:szCs w:val="24"/>
              </w:rPr>
              <w:t>法定代表人：李XX</w:t>
            </w:r>
          </w:p>
          <w:p>
            <w:pPr>
              <w:rPr>
                <w:sz w:val="24"/>
                <w:szCs w:val="24"/>
              </w:rPr>
            </w:pPr>
            <w:r>
              <w:rPr>
                <w:rFonts w:hint="eastAsia"/>
                <w:sz w:val="24"/>
                <w:szCs w:val="24"/>
              </w:rPr>
              <w:t>统一社会信用代码：9112116456XXXX</w:t>
            </w:r>
          </w:p>
          <w:p>
            <w:pPr>
              <w:rPr>
                <w:sz w:val="24"/>
                <w:szCs w:val="24"/>
              </w:rPr>
            </w:pPr>
          </w:p>
          <w:p>
            <w:pPr>
              <w:rPr>
                <w:sz w:val="24"/>
                <w:szCs w:val="24"/>
              </w:rPr>
            </w:pPr>
            <w:r>
              <w:rPr>
                <w:rFonts w:hint="eastAsia"/>
                <w:sz w:val="24"/>
                <w:szCs w:val="24"/>
              </w:rPr>
              <w:t>乙方：中国科学院大连化学物理研究所……</w:t>
            </w:r>
          </w:p>
        </w:tc>
        <w:tc>
          <w:tcPr>
            <w:tcW w:w="3402" w:type="dxa"/>
            <w:shd w:val="clear" w:color="auto" w:fill="BDD6EE" w:themeFill="accent5" w:themeFillTint="66"/>
            <w:vAlign w:val="center"/>
          </w:tcPr>
          <w:p>
            <w:pPr>
              <w:pStyle w:val="12"/>
              <w:numPr>
                <w:ilvl w:val="0"/>
                <w:numId w:val="1"/>
              </w:numPr>
              <w:ind w:firstLineChars="0"/>
              <w:rPr>
                <w:sz w:val="24"/>
                <w:szCs w:val="24"/>
              </w:rPr>
            </w:pPr>
            <w:r>
              <w:rPr>
                <w:rFonts w:hint="eastAsia"/>
                <w:sz w:val="24"/>
                <w:szCs w:val="24"/>
              </w:rPr>
              <w:t>主体名称为全称；</w:t>
            </w:r>
          </w:p>
          <w:p>
            <w:pPr>
              <w:pStyle w:val="12"/>
              <w:numPr>
                <w:ilvl w:val="0"/>
                <w:numId w:val="1"/>
              </w:numPr>
              <w:ind w:firstLineChars="0"/>
              <w:rPr>
                <w:sz w:val="24"/>
                <w:szCs w:val="24"/>
              </w:rPr>
            </w:pPr>
            <w:r>
              <w:rPr>
                <w:rFonts w:hint="eastAsia"/>
                <w:sz w:val="24"/>
                <w:szCs w:val="24"/>
              </w:rPr>
              <w:t>主体需有法人资格，单位内设机构一般无法人资格；</w:t>
            </w:r>
          </w:p>
          <w:p>
            <w:pPr>
              <w:pStyle w:val="12"/>
              <w:numPr>
                <w:ilvl w:val="0"/>
                <w:numId w:val="1"/>
              </w:numPr>
              <w:ind w:firstLineChars="0"/>
              <w:rPr>
                <w:sz w:val="24"/>
                <w:szCs w:val="24"/>
              </w:rPr>
            </w:pPr>
            <w:r>
              <w:rPr>
                <w:rFonts w:hint="eastAsia"/>
                <w:sz w:val="24"/>
                <w:szCs w:val="24"/>
              </w:rPr>
              <w:t>如履行合同需特殊资质，需提供资质证明；</w:t>
            </w:r>
          </w:p>
          <w:p>
            <w:pPr>
              <w:pStyle w:val="12"/>
              <w:numPr>
                <w:ilvl w:val="0"/>
                <w:numId w:val="1"/>
              </w:numPr>
              <w:ind w:firstLineChars="0"/>
              <w:rPr>
                <w:sz w:val="24"/>
                <w:szCs w:val="24"/>
              </w:rPr>
            </w:pPr>
            <w:r>
              <w:rPr>
                <w:rFonts w:hint="eastAsia"/>
                <w:sz w:val="24"/>
                <w:szCs w:val="24"/>
              </w:rPr>
              <w:t>考察对方主体履约能力（可通过最高院失信人员查询系统、天眼查APP等查询其涉诉情况）。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418" w:type="dxa"/>
            <w:tcBorders>
              <w:left w:val="nil"/>
            </w:tcBorders>
            <w:shd w:val="clear" w:color="auto" w:fill="5B9BD5" w:themeFill="accent5"/>
            <w:vAlign w:val="center"/>
          </w:tcPr>
          <w:p>
            <w:pPr>
              <w:jc w:val="center"/>
              <w:rPr>
                <w:b/>
                <w:bCs/>
                <w:color w:val="FFFFFF" w:themeColor="background1"/>
                <w:sz w:val="28"/>
                <w:szCs w:val="28"/>
                <w14:textFill>
                  <w14:solidFill>
                    <w14:schemeClr w14:val="bg1"/>
                  </w14:solidFill>
                </w14:textFill>
              </w:rPr>
            </w:pPr>
            <w:r>
              <w:rPr>
                <w:rFonts w:hint="eastAsia"/>
                <w:b/>
                <w:bCs/>
                <w:color w:val="FFFFFF" w:themeColor="background1"/>
                <w:sz w:val="28"/>
                <w:szCs w:val="28"/>
                <w14:textFill>
                  <w14:solidFill>
                    <w14:schemeClr w14:val="bg1"/>
                  </w14:solidFill>
                </w14:textFill>
              </w:rPr>
              <w:t>合同标的</w:t>
            </w:r>
          </w:p>
        </w:tc>
        <w:tc>
          <w:tcPr>
            <w:tcW w:w="3686" w:type="dxa"/>
            <w:shd w:val="clear" w:color="auto" w:fill="DEEAF6" w:themeFill="accent5" w:themeFillTint="33"/>
            <w:vAlign w:val="center"/>
          </w:tcPr>
          <w:p>
            <w:pPr>
              <w:rPr>
                <w:sz w:val="24"/>
                <w:szCs w:val="24"/>
              </w:rPr>
            </w:pPr>
            <w:r>
              <w:rPr>
                <w:rFonts w:hint="eastAsia"/>
                <w:sz w:val="24"/>
                <w:szCs w:val="24"/>
              </w:rPr>
              <w:t>1.标的名称（货物、服务、知识产权等）；2.标的描述（数量、型号、服务内容、技术简要描述等）</w:t>
            </w:r>
          </w:p>
        </w:tc>
        <w:tc>
          <w:tcPr>
            <w:tcW w:w="5811" w:type="dxa"/>
            <w:shd w:val="clear" w:color="auto" w:fill="DEEAF6" w:themeFill="accent5" w:themeFillTint="33"/>
            <w:vAlign w:val="center"/>
          </w:tcPr>
          <w:p>
            <w:pPr>
              <w:rPr>
                <w:sz w:val="24"/>
                <w:szCs w:val="24"/>
              </w:rPr>
            </w:pPr>
            <w:r>
              <w:rPr>
                <w:rFonts w:hint="eastAsia"/>
                <w:sz w:val="24"/>
                <w:szCs w:val="24"/>
              </w:rPr>
              <w:t>例一：采购标的：联想牌台式电脑，型号：TS100，数量：20台。</w:t>
            </w:r>
          </w:p>
          <w:p>
            <w:pPr>
              <w:rPr>
                <w:sz w:val="24"/>
                <w:szCs w:val="24"/>
              </w:rPr>
            </w:pPr>
            <w:r>
              <w:rPr>
                <w:rFonts w:hint="eastAsia"/>
                <w:sz w:val="24"/>
                <w:szCs w:val="24"/>
              </w:rPr>
              <w:t>例二：利用乙方专利和专有技术建设一套年</w:t>
            </w:r>
            <w:r>
              <w:rPr>
                <w:sz w:val="24"/>
                <w:szCs w:val="24"/>
              </w:rPr>
              <w:t>产</w:t>
            </w:r>
            <w:r>
              <w:rPr>
                <w:rFonts w:hint="eastAsia"/>
                <w:sz w:val="24"/>
                <w:szCs w:val="24"/>
              </w:rPr>
              <w:t>二十万吨甲醇合成XX生产装置。</w:t>
            </w:r>
          </w:p>
        </w:tc>
        <w:tc>
          <w:tcPr>
            <w:tcW w:w="3402" w:type="dxa"/>
            <w:shd w:val="clear" w:color="auto" w:fill="DEEAF6" w:themeFill="accent5" w:themeFillTint="33"/>
            <w:vAlign w:val="center"/>
          </w:tcPr>
          <w:p>
            <w:pPr>
              <w:rPr>
                <w:sz w:val="24"/>
                <w:szCs w:val="24"/>
              </w:rPr>
            </w:pPr>
            <w:r>
              <w:rPr>
                <w:rFonts w:hint="eastAsia"/>
                <w:sz w:val="24"/>
                <w:szCs w:val="24"/>
              </w:rPr>
              <w:t>标的描述要详尽、准确，且标的需合法。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418" w:type="dxa"/>
            <w:tcBorders>
              <w:left w:val="nil"/>
            </w:tcBorders>
            <w:shd w:val="clear" w:color="auto" w:fill="5B9BD5" w:themeFill="accent5"/>
            <w:vAlign w:val="center"/>
          </w:tcPr>
          <w:p>
            <w:pPr>
              <w:jc w:val="center"/>
              <w:rPr>
                <w:b/>
                <w:bCs/>
                <w:color w:val="FFFFFF" w:themeColor="background1"/>
                <w:sz w:val="28"/>
                <w:szCs w:val="28"/>
                <w14:textFill>
                  <w14:solidFill>
                    <w14:schemeClr w14:val="bg1"/>
                  </w14:solidFill>
                </w14:textFill>
              </w:rPr>
            </w:pPr>
            <w:r>
              <w:rPr>
                <w:rFonts w:hint="eastAsia"/>
                <w:b/>
                <w:bCs/>
                <w:color w:val="FFFFFF" w:themeColor="background1"/>
                <w:sz w:val="28"/>
                <w:szCs w:val="28"/>
                <w14:textFill>
                  <w14:solidFill>
                    <w14:schemeClr w14:val="bg1"/>
                  </w14:solidFill>
                </w14:textFill>
              </w:rPr>
              <w:t>合同期限</w:t>
            </w:r>
          </w:p>
        </w:tc>
        <w:tc>
          <w:tcPr>
            <w:tcW w:w="3686" w:type="dxa"/>
            <w:shd w:val="clear" w:color="auto" w:fill="BDD6EE" w:themeFill="accent5" w:themeFillTint="66"/>
            <w:vAlign w:val="center"/>
          </w:tcPr>
          <w:p>
            <w:pPr>
              <w:rPr>
                <w:sz w:val="24"/>
                <w:szCs w:val="24"/>
              </w:rPr>
            </w:pPr>
            <w:r>
              <w:rPr>
                <w:rFonts w:hint="eastAsia"/>
                <w:sz w:val="24"/>
                <w:szCs w:val="24"/>
              </w:rPr>
              <w:t>合同各方预计能够完全履行合同所需时间</w:t>
            </w:r>
          </w:p>
        </w:tc>
        <w:tc>
          <w:tcPr>
            <w:tcW w:w="5811" w:type="dxa"/>
            <w:shd w:val="clear" w:color="auto" w:fill="BDD6EE" w:themeFill="accent5" w:themeFillTint="66"/>
            <w:vAlign w:val="center"/>
          </w:tcPr>
          <w:p>
            <w:pPr>
              <w:rPr>
                <w:sz w:val="24"/>
                <w:szCs w:val="24"/>
              </w:rPr>
            </w:pPr>
            <w:r>
              <w:rPr>
                <w:rFonts w:hint="eastAsia"/>
                <w:sz w:val="24"/>
                <w:szCs w:val="24"/>
              </w:rPr>
              <w:t>合同期限：自合同生效之日起10个月。</w:t>
            </w:r>
          </w:p>
        </w:tc>
        <w:tc>
          <w:tcPr>
            <w:tcW w:w="3402" w:type="dxa"/>
            <w:shd w:val="clear" w:color="auto" w:fill="BDD6EE" w:themeFill="accent5" w:themeFillTint="66"/>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1418" w:type="dxa"/>
            <w:tcBorders>
              <w:left w:val="nil"/>
            </w:tcBorders>
            <w:shd w:val="clear" w:color="auto" w:fill="5B9BD5" w:themeFill="accent5"/>
            <w:vAlign w:val="center"/>
          </w:tcPr>
          <w:p>
            <w:pPr>
              <w:jc w:val="center"/>
              <w:rPr>
                <w:b/>
                <w:bCs/>
                <w:color w:val="FFFFFF" w:themeColor="background1"/>
                <w:sz w:val="28"/>
                <w:szCs w:val="28"/>
                <w14:textFill>
                  <w14:solidFill>
                    <w14:schemeClr w14:val="bg1"/>
                  </w14:solidFill>
                </w14:textFill>
              </w:rPr>
            </w:pPr>
            <w:r>
              <w:rPr>
                <w:rFonts w:hint="eastAsia"/>
                <w:b/>
                <w:bCs/>
                <w:color w:val="FFFFFF" w:themeColor="background1"/>
                <w:sz w:val="28"/>
                <w:szCs w:val="28"/>
                <w14:textFill>
                  <w14:solidFill>
                    <w14:schemeClr w14:val="bg1"/>
                  </w14:solidFill>
                </w14:textFill>
              </w:rPr>
              <w:t>合同价款</w:t>
            </w:r>
          </w:p>
        </w:tc>
        <w:tc>
          <w:tcPr>
            <w:tcW w:w="3686" w:type="dxa"/>
            <w:shd w:val="clear" w:color="auto" w:fill="DEEAF6" w:themeFill="accent5" w:themeFillTint="33"/>
            <w:vAlign w:val="center"/>
          </w:tcPr>
          <w:p>
            <w:pPr>
              <w:pStyle w:val="12"/>
              <w:numPr>
                <w:ilvl w:val="0"/>
                <w:numId w:val="2"/>
              </w:numPr>
              <w:ind w:firstLineChars="0"/>
              <w:rPr>
                <w:sz w:val="24"/>
                <w:szCs w:val="24"/>
              </w:rPr>
            </w:pPr>
            <w:r>
              <w:rPr>
                <w:rFonts w:hint="eastAsia"/>
                <w:sz w:val="24"/>
                <w:szCs w:val="24"/>
              </w:rPr>
              <w:t>价格（费用）金额；</w:t>
            </w:r>
          </w:p>
          <w:p>
            <w:pPr>
              <w:pStyle w:val="12"/>
              <w:numPr>
                <w:ilvl w:val="0"/>
                <w:numId w:val="2"/>
              </w:numPr>
              <w:ind w:firstLineChars="0"/>
              <w:rPr>
                <w:sz w:val="24"/>
                <w:szCs w:val="24"/>
              </w:rPr>
            </w:pPr>
            <w:r>
              <w:rPr>
                <w:rFonts w:hint="eastAsia"/>
                <w:sz w:val="24"/>
                <w:szCs w:val="24"/>
              </w:rPr>
              <w:t>付款方式。</w:t>
            </w:r>
          </w:p>
        </w:tc>
        <w:tc>
          <w:tcPr>
            <w:tcW w:w="5811" w:type="dxa"/>
            <w:shd w:val="clear" w:color="auto" w:fill="DEEAF6" w:themeFill="accent5" w:themeFillTint="33"/>
            <w:vAlign w:val="center"/>
          </w:tcPr>
          <w:p>
            <w:pPr>
              <w:rPr>
                <w:sz w:val="24"/>
                <w:szCs w:val="24"/>
              </w:rPr>
            </w:pPr>
            <w:r>
              <w:rPr>
                <w:rFonts w:hint="eastAsia"/>
                <w:sz w:val="24"/>
                <w:szCs w:val="24"/>
              </w:rPr>
              <w:t>例一：单价5000元/台，合同总价：100000元（含税）；付款方式：甲方收到货物并验收合格后10日内付款，乙方应出具相应金额的增值税专用发票。</w:t>
            </w:r>
          </w:p>
          <w:p>
            <w:pPr>
              <w:rPr>
                <w:sz w:val="24"/>
                <w:szCs w:val="24"/>
              </w:rPr>
            </w:pPr>
            <w:r>
              <w:rPr>
                <w:rFonts w:hint="eastAsia"/>
                <w:sz w:val="24"/>
                <w:szCs w:val="24"/>
              </w:rPr>
              <w:t>例二：开发和许可费用总计500万元，付款方式为分期付款，具体为：（1）合同生效后15日内付款200万元；（2）乙方提供XX工艺包后15日内付款100万元；（3）XX装置建成后15日内付款100万元；（4）XX装置通过性能验收后30日内付款100万元。</w:t>
            </w:r>
          </w:p>
        </w:tc>
        <w:tc>
          <w:tcPr>
            <w:tcW w:w="3402" w:type="dxa"/>
            <w:shd w:val="clear" w:color="auto" w:fill="DEEAF6" w:themeFill="accent5" w:themeFillTint="33"/>
            <w:vAlign w:val="center"/>
          </w:tcPr>
          <w:p>
            <w:pPr>
              <w:pStyle w:val="12"/>
              <w:numPr>
                <w:ilvl w:val="0"/>
                <w:numId w:val="3"/>
              </w:numPr>
              <w:ind w:firstLineChars="0"/>
              <w:rPr>
                <w:sz w:val="24"/>
                <w:szCs w:val="24"/>
              </w:rPr>
            </w:pPr>
            <w:r>
              <w:rPr>
                <w:rFonts w:hint="eastAsia"/>
                <w:sz w:val="24"/>
                <w:szCs w:val="24"/>
              </w:rPr>
              <w:t>合同价款应明确包含的内容；</w:t>
            </w:r>
          </w:p>
          <w:p>
            <w:pPr>
              <w:pStyle w:val="12"/>
              <w:numPr>
                <w:ilvl w:val="0"/>
                <w:numId w:val="3"/>
              </w:numPr>
              <w:ind w:firstLineChars="0"/>
              <w:rPr>
                <w:sz w:val="24"/>
                <w:szCs w:val="24"/>
              </w:rPr>
            </w:pPr>
            <w:r>
              <w:rPr>
                <w:rFonts w:hint="eastAsia"/>
                <w:sz w:val="24"/>
                <w:szCs w:val="24"/>
              </w:rPr>
              <w:t>注明是否含税；</w:t>
            </w:r>
          </w:p>
          <w:p>
            <w:pPr>
              <w:pStyle w:val="12"/>
              <w:numPr>
                <w:ilvl w:val="0"/>
                <w:numId w:val="3"/>
              </w:numPr>
              <w:ind w:firstLineChars="0"/>
              <w:rPr>
                <w:sz w:val="24"/>
                <w:szCs w:val="24"/>
              </w:rPr>
            </w:pPr>
            <w:r>
              <w:rPr>
                <w:rFonts w:hint="eastAsia"/>
                <w:sz w:val="24"/>
                <w:szCs w:val="24"/>
              </w:rPr>
              <w:t>分期付款合同应明确每笔款项的付款条件，技术合同中一般应与项目进度形成对应关系。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1418" w:type="dxa"/>
            <w:tcBorders>
              <w:left w:val="nil"/>
            </w:tcBorders>
            <w:shd w:val="clear" w:color="auto" w:fill="5B9BD5" w:themeFill="accent5"/>
            <w:vAlign w:val="center"/>
          </w:tcPr>
          <w:p>
            <w:pPr>
              <w:jc w:val="center"/>
              <w:rPr>
                <w:b/>
                <w:bCs/>
                <w:color w:val="FFFFFF" w:themeColor="background1"/>
                <w:sz w:val="28"/>
                <w:szCs w:val="28"/>
                <w14:textFill>
                  <w14:solidFill>
                    <w14:schemeClr w14:val="bg1"/>
                  </w14:solidFill>
                </w14:textFill>
              </w:rPr>
            </w:pPr>
            <w:r>
              <w:rPr>
                <w:rFonts w:hint="eastAsia"/>
                <w:b/>
                <w:bCs/>
                <w:color w:val="FFFFFF" w:themeColor="background1"/>
                <w:sz w:val="28"/>
                <w:szCs w:val="28"/>
                <w14:textFill>
                  <w14:solidFill>
                    <w14:schemeClr w14:val="bg1"/>
                  </w14:solidFill>
                </w14:textFill>
              </w:rPr>
              <w:t>交付条款</w:t>
            </w:r>
          </w:p>
        </w:tc>
        <w:tc>
          <w:tcPr>
            <w:tcW w:w="3686" w:type="dxa"/>
            <w:shd w:val="clear" w:color="auto" w:fill="BDD6EE" w:themeFill="accent5" w:themeFillTint="66"/>
            <w:vAlign w:val="center"/>
          </w:tcPr>
          <w:p>
            <w:pPr>
              <w:pStyle w:val="12"/>
              <w:numPr>
                <w:ilvl w:val="0"/>
                <w:numId w:val="4"/>
              </w:numPr>
              <w:ind w:firstLineChars="0"/>
              <w:rPr>
                <w:sz w:val="24"/>
                <w:szCs w:val="24"/>
              </w:rPr>
            </w:pPr>
            <w:r>
              <w:rPr>
                <w:rFonts w:hint="eastAsia"/>
                <w:sz w:val="24"/>
                <w:szCs w:val="24"/>
              </w:rPr>
              <w:t>交付内容；</w:t>
            </w:r>
          </w:p>
          <w:p>
            <w:pPr>
              <w:pStyle w:val="12"/>
              <w:numPr>
                <w:ilvl w:val="0"/>
                <w:numId w:val="4"/>
              </w:numPr>
              <w:ind w:firstLineChars="0"/>
              <w:rPr>
                <w:sz w:val="24"/>
                <w:szCs w:val="24"/>
              </w:rPr>
            </w:pPr>
            <w:r>
              <w:rPr>
                <w:rFonts w:hint="eastAsia"/>
                <w:sz w:val="24"/>
                <w:szCs w:val="24"/>
              </w:rPr>
              <w:t>交付时间；</w:t>
            </w:r>
          </w:p>
          <w:p>
            <w:pPr>
              <w:pStyle w:val="12"/>
              <w:numPr>
                <w:ilvl w:val="0"/>
                <w:numId w:val="4"/>
              </w:numPr>
              <w:ind w:firstLineChars="0"/>
              <w:rPr>
                <w:sz w:val="24"/>
                <w:szCs w:val="24"/>
              </w:rPr>
            </w:pPr>
            <w:r>
              <w:rPr>
                <w:rFonts w:hint="eastAsia"/>
                <w:sz w:val="24"/>
                <w:szCs w:val="24"/>
              </w:rPr>
              <w:t>交付形式。</w:t>
            </w:r>
          </w:p>
        </w:tc>
        <w:tc>
          <w:tcPr>
            <w:tcW w:w="5811" w:type="dxa"/>
            <w:shd w:val="clear" w:color="auto" w:fill="BDD6EE" w:themeFill="accent5" w:themeFillTint="66"/>
            <w:vAlign w:val="center"/>
          </w:tcPr>
          <w:p>
            <w:pPr>
              <w:rPr>
                <w:sz w:val="24"/>
                <w:szCs w:val="24"/>
              </w:rPr>
            </w:pPr>
            <w:r>
              <w:rPr>
                <w:rFonts w:hint="eastAsia"/>
                <w:sz w:val="24"/>
                <w:szCs w:val="24"/>
              </w:rPr>
              <w:t>例一：乙方负责货物运输，在合同签订后30天内将全部货物送至甲方指定地点，同时附上双方约定的、记录货物相关事项的资料。</w:t>
            </w:r>
          </w:p>
          <w:p>
            <w:pPr>
              <w:rPr>
                <w:sz w:val="24"/>
                <w:szCs w:val="24"/>
              </w:rPr>
            </w:pPr>
            <w:r>
              <w:rPr>
                <w:rFonts w:hint="eastAsia"/>
                <w:sz w:val="24"/>
                <w:szCs w:val="24"/>
              </w:rPr>
              <w:t>例二：（1）交付内容：乙方根据本合同约定向甲方提供技术资料，包括但不限于：配方、工艺、图纸、技术规格、制造规范和标准以及其他许可产品的制造组装、现场安装、调试、操作和维护文件等；</w:t>
            </w:r>
          </w:p>
          <w:p>
            <w:pPr>
              <w:rPr>
                <w:color w:val="FF0000"/>
                <w:sz w:val="24"/>
                <w:szCs w:val="24"/>
              </w:rPr>
            </w:pPr>
            <w:r>
              <w:rPr>
                <w:rFonts w:hint="eastAsia"/>
                <w:sz w:val="24"/>
                <w:szCs w:val="24"/>
              </w:rPr>
              <w:t>（2）交付时间及形式：乙方应在本合同生效后5日内，以邮件的形式交付全部技术资料。</w:t>
            </w:r>
          </w:p>
        </w:tc>
        <w:tc>
          <w:tcPr>
            <w:tcW w:w="3402" w:type="dxa"/>
            <w:shd w:val="clear" w:color="auto" w:fill="BDD6EE" w:themeFill="accent5" w:themeFillTint="66"/>
            <w:vAlign w:val="center"/>
          </w:tcPr>
          <w:p>
            <w:pPr>
              <w:pStyle w:val="12"/>
              <w:ind w:left="360"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1418" w:type="dxa"/>
            <w:tcBorders>
              <w:left w:val="nil"/>
            </w:tcBorders>
            <w:shd w:val="clear" w:color="auto" w:fill="5B9BD5" w:themeFill="accent5"/>
            <w:vAlign w:val="center"/>
          </w:tcPr>
          <w:p>
            <w:pPr>
              <w:jc w:val="center"/>
              <w:rPr>
                <w:b/>
                <w:bCs/>
                <w:color w:val="FFFFFF" w:themeColor="background1"/>
                <w:sz w:val="28"/>
                <w:szCs w:val="28"/>
                <w14:textFill>
                  <w14:solidFill>
                    <w14:schemeClr w14:val="bg1"/>
                  </w14:solidFill>
                </w14:textFill>
              </w:rPr>
            </w:pPr>
            <w:r>
              <w:rPr>
                <w:rFonts w:hint="eastAsia"/>
                <w:b/>
                <w:bCs/>
                <w:color w:val="FFFFFF" w:themeColor="background1"/>
                <w:sz w:val="28"/>
                <w:szCs w:val="28"/>
                <w14:textFill>
                  <w14:solidFill>
                    <w14:schemeClr w14:val="bg1"/>
                  </w14:solidFill>
                </w14:textFill>
              </w:rPr>
              <w:t>质量与验收</w:t>
            </w:r>
          </w:p>
        </w:tc>
        <w:tc>
          <w:tcPr>
            <w:tcW w:w="3686" w:type="dxa"/>
            <w:shd w:val="clear" w:color="auto" w:fill="DEEAF6" w:themeFill="accent5" w:themeFillTint="33"/>
            <w:vAlign w:val="center"/>
          </w:tcPr>
          <w:p>
            <w:pPr>
              <w:pStyle w:val="12"/>
              <w:numPr>
                <w:ilvl w:val="0"/>
                <w:numId w:val="5"/>
              </w:numPr>
              <w:ind w:firstLineChars="0"/>
              <w:rPr>
                <w:sz w:val="24"/>
                <w:szCs w:val="24"/>
              </w:rPr>
            </w:pPr>
            <w:r>
              <w:rPr>
                <w:rFonts w:hint="eastAsia"/>
                <w:sz w:val="24"/>
                <w:szCs w:val="24"/>
              </w:rPr>
              <w:t>标的的质量标准，或技术目标；</w:t>
            </w:r>
          </w:p>
          <w:p>
            <w:pPr>
              <w:pStyle w:val="12"/>
              <w:numPr>
                <w:ilvl w:val="0"/>
                <w:numId w:val="5"/>
              </w:numPr>
              <w:ind w:firstLineChars="0"/>
              <w:rPr>
                <w:sz w:val="24"/>
                <w:szCs w:val="24"/>
              </w:rPr>
            </w:pPr>
            <w:r>
              <w:rPr>
                <w:rFonts w:hint="eastAsia"/>
                <w:sz w:val="24"/>
                <w:szCs w:val="24"/>
              </w:rPr>
              <w:t>验收时间、方式、标准；</w:t>
            </w:r>
          </w:p>
          <w:p>
            <w:pPr>
              <w:pStyle w:val="12"/>
              <w:numPr>
                <w:ilvl w:val="0"/>
                <w:numId w:val="5"/>
              </w:numPr>
              <w:ind w:firstLineChars="0"/>
              <w:rPr>
                <w:sz w:val="24"/>
                <w:szCs w:val="24"/>
              </w:rPr>
            </w:pPr>
            <w:r>
              <w:rPr>
                <w:rFonts w:hint="eastAsia"/>
                <w:sz w:val="24"/>
                <w:szCs w:val="24"/>
              </w:rPr>
              <w:t>验收不合格的救济方式。</w:t>
            </w:r>
          </w:p>
        </w:tc>
        <w:tc>
          <w:tcPr>
            <w:tcW w:w="5811" w:type="dxa"/>
            <w:shd w:val="clear" w:color="auto" w:fill="DEEAF6" w:themeFill="accent5" w:themeFillTint="33"/>
            <w:vAlign w:val="center"/>
          </w:tcPr>
          <w:p>
            <w:pPr>
              <w:rPr>
                <w:sz w:val="24"/>
                <w:szCs w:val="24"/>
              </w:rPr>
            </w:pPr>
            <w:r>
              <w:rPr>
                <w:rFonts w:hint="eastAsia"/>
                <w:sz w:val="24"/>
                <w:szCs w:val="24"/>
              </w:rPr>
              <w:t>例一：货物需符合国家标准GBXXXX；</w:t>
            </w:r>
          </w:p>
          <w:p>
            <w:pPr>
              <w:rPr>
                <w:sz w:val="24"/>
                <w:szCs w:val="24"/>
              </w:rPr>
            </w:pPr>
            <w:r>
              <w:rPr>
                <w:rFonts w:hint="eastAsia"/>
                <w:sz w:val="24"/>
                <w:szCs w:val="24"/>
              </w:rPr>
              <w:t>验收时间：乙方将货物送至甲方指定地点后2日内，甲乙双方共同按照合同约定标准进行验货。乙方未能参加检验的，由甲方签字，并视为乙方予以认可，如验收不合格，乙方负责免费更换或办理退货。</w:t>
            </w:r>
          </w:p>
          <w:p>
            <w:pPr>
              <w:rPr>
                <w:sz w:val="24"/>
                <w:szCs w:val="24"/>
              </w:rPr>
            </w:pPr>
            <w:r>
              <w:rPr>
                <w:rFonts w:hint="eastAsia"/>
                <w:sz w:val="24"/>
                <w:szCs w:val="24"/>
              </w:rPr>
              <w:t>例二：双方约定，乙方提出验收申请后30日内甲方按技术附件（附件一）中的标准对最终成果组织验收。验收方式为专家鉴定，如未通过验收，乙方负责整改直至最终成果达到验收标准。如甲方无正当理由逾期组织验收超过60日，甲方应按最终成果通过验收及时向乙方支付剩余款项。</w:t>
            </w:r>
          </w:p>
        </w:tc>
        <w:tc>
          <w:tcPr>
            <w:tcW w:w="3402" w:type="dxa"/>
            <w:shd w:val="clear" w:color="auto" w:fill="DEEAF6" w:themeFill="accent5" w:themeFillTint="33"/>
            <w:vAlign w:val="center"/>
          </w:tcPr>
          <w:p>
            <w:pPr>
              <w:rPr>
                <w:sz w:val="24"/>
                <w:szCs w:val="24"/>
              </w:rPr>
            </w:pPr>
            <w:r>
              <w:rPr>
                <w:rFonts w:hint="eastAsia"/>
                <w:sz w:val="24"/>
                <w:szCs w:val="24"/>
              </w:rPr>
              <w:t>验收时间需明确，且可根据具体情况对拖延验收的情形进行约定，避免拖延验收导致损失。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418" w:type="dxa"/>
            <w:tcBorders>
              <w:left w:val="nil"/>
            </w:tcBorders>
            <w:shd w:val="clear" w:color="auto" w:fill="5B9BD5" w:themeFill="accent5"/>
            <w:vAlign w:val="center"/>
          </w:tcPr>
          <w:p>
            <w:pPr>
              <w:jc w:val="center"/>
              <w:rPr>
                <w:b/>
                <w:bCs/>
                <w:color w:val="FFFFFF" w:themeColor="background1"/>
                <w:sz w:val="28"/>
                <w:szCs w:val="28"/>
                <w14:textFill>
                  <w14:solidFill>
                    <w14:schemeClr w14:val="bg1"/>
                  </w14:solidFill>
                </w14:textFill>
              </w:rPr>
            </w:pPr>
            <w:r>
              <w:rPr>
                <w:rFonts w:hint="eastAsia"/>
                <w:b/>
                <w:bCs/>
                <w:color w:val="FFFFFF" w:themeColor="background1"/>
                <w:sz w:val="28"/>
                <w:szCs w:val="28"/>
                <w14:textFill>
                  <w14:solidFill>
                    <w14:schemeClr w14:val="bg1"/>
                  </w14:solidFill>
                </w14:textFill>
              </w:rPr>
              <w:t>权利义务</w:t>
            </w:r>
          </w:p>
        </w:tc>
        <w:tc>
          <w:tcPr>
            <w:tcW w:w="3686" w:type="dxa"/>
            <w:shd w:val="clear" w:color="auto" w:fill="BDD6EE" w:themeFill="accent5" w:themeFillTint="66"/>
            <w:vAlign w:val="center"/>
          </w:tcPr>
          <w:p>
            <w:pPr>
              <w:rPr>
                <w:sz w:val="24"/>
                <w:szCs w:val="24"/>
              </w:rPr>
            </w:pPr>
            <w:r>
              <w:rPr>
                <w:rFonts w:hint="eastAsia"/>
                <w:sz w:val="24"/>
                <w:szCs w:val="24"/>
              </w:rPr>
              <w:t>根据合同目的梳理双方其他权利义务。</w:t>
            </w:r>
          </w:p>
        </w:tc>
        <w:tc>
          <w:tcPr>
            <w:tcW w:w="5811" w:type="dxa"/>
            <w:shd w:val="clear" w:color="auto" w:fill="BDD6EE" w:themeFill="accent5" w:themeFillTint="66"/>
            <w:vAlign w:val="center"/>
          </w:tcPr>
          <w:p>
            <w:pPr>
              <w:rPr>
                <w:sz w:val="24"/>
                <w:szCs w:val="24"/>
              </w:rPr>
            </w:pPr>
            <w:r>
              <w:rPr>
                <w:rFonts w:hint="eastAsia"/>
                <w:sz w:val="24"/>
                <w:szCs w:val="24"/>
              </w:rPr>
              <w:t>例一：甲方权利义务：（1）如乙方提供的货物不符合合同约定，甲方有权拒绝收货，所产生的损失由乙方自行承担；（2）如甲方无正当理由拒绝收货，由此造成的损失由甲方承担。乙方权利义务：（1）乙方有权要求甲方按时支付货款，逾期支付的乙方有权主张违约责任；（2）乙方无正当理由未向甲方出具正规增值税发票，甲方有权拒绝付款。</w:t>
            </w:r>
          </w:p>
          <w:p>
            <w:pPr>
              <w:rPr>
                <w:sz w:val="24"/>
                <w:szCs w:val="24"/>
              </w:rPr>
            </w:pPr>
            <w:r>
              <w:rPr>
                <w:rFonts w:hint="eastAsia"/>
                <w:sz w:val="24"/>
                <w:szCs w:val="24"/>
              </w:rPr>
              <w:t>例二：甲方权利义务：（1）如乙方未按期完成研发任务，甲方有权暂停支付剩余费用；（2）甲方应为乙方研发工作提供相关资料。乙方权利义务：（1）如甲方未按时付款，乙方有权暂停研发工作；（2）乙方应保证研发所利用的知识产权不侵犯第三人利益。</w:t>
            </w:r>
          </w:p>
        </w:tc>
        <w:tc>
          <w:tcPr>
            <w:tcW w:w="3402" w:type="dxa"/>
            <w:shd w:val="clear" w:color="auto" w:fill="BDD6EE" w:themeFill="accent5" w:themeFillTint="66"/>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1418" w:type="dxa"/>
            <w:tcBorders>
              <w:left w:val="nil"/>
            </w:tcBorders>
            <w:shd w:val="clear" w:color="auto" w:fill="5B9BD5" w:themeFill="accent5"/>
            <w:vAlign w:val="center"/>
          </w:tcPr>
          <w:p>
            <w:pPr>
              <w:jc w:val="center"/>
              <w:rPr>
                <w:b/>
                <w:bCs/>
                <w:color w:val="FFFFFF" w:themeColor="background1"/>
                <w:sz w:val="28"/>
                <w:szCs w:val="28"/>
                <w14:textFill>
                  <w14:solidFill>
                    <w14:schemeClr w14:val="bg1"/>
                  </w14:solidFill>
                </w14:textFill>
              </w:rPr>
            </w:pPr>
            <w:r>
              <w:rPr>
                <w:rFonts w:hint="eastAsia"/>
                <w:b/>
                <w:bCs/>
                <w:color w:val="FFFFFF" w:themeColor="background1"/>
                <w:sz w:val="28"/>
                <w:szCs w:val="28"/>
                <w14:textFill>
                  <w14:solidFill>
                    <w14:schemeClr w14:val="bg1"/>
                  </w14:solidFill>
                </w14:textFill>
              </w:rPr>
              <w:t>保密条款</w:t>
            </w:r>
          </w:p>
        </w:tc>
        <w:tc>
          <w:tcPr>
            <w:tcW w:w="3686" w:type="dxa"/>
            <w:shd w:val="clear" w:color="auto" w:fill="DEEAF6" w:themeFill="accent5" w:themeFillTint="33"/>
            <w:vAlign w:val="center"/>
          </w:tcPr>
          <w:p>
            <w:pPr>
              <w:pStyle w:val="12"/>
              <w:numPr>
                <w:ilvl w:val="0"/>
                <w:numId w:val="6"/>
              </w:numPr>
              <w:ind w:firstLineChars="0"/>
              <w:rPr>
                <w:sz w:val="24"/>
                <w:szCs w:val="24"/>
              </w:rPr>
            </w:pPr>
            <w:r>
              <w:rPr>
                <w:rFonts w:hint="eastAsia"/>
                <w:sz w:val="24"/>
                <w:szCs w:val="24"/>
              </w:rPr>
              <w:t>保密内容；</w:t>
            </w:r>
          </w:p>
          <w:p>
            <w:pPr>
              <w:pStyle w:val="12"/>
              <w:numPr>
                <w:ilvl w:val="0"/>
                <w:numId w:val="6"/>
              </w:numPr>
              <w:ind w:firstLineChars="0"/>
              <w:rPr>
                <w:sz w:val="24"/>
                <w:szCs w:val="24"/>
              </w:rPr>
            </w:pPr>
            <w:r>
              <w:rPr>
                <w:rFonts w:hint="eastAsia"/>
                <w:sz w:val="24"/>
                <w:szCs w:val="24"/>
              </w:rPr>
              <w:t>保密人员范围；</w:t>
            </w:r>
          </w:p>
          <w:p>
            <w:pPr>
              <w:pStyle w:val="12"/>
              <w:numPr>
                <w:ilvl w:val="0"/>
                <w:numId w:val="6"/>
              </w:numPr>
              <w:ind w:firstLineChars="0"/>
              <w:rPr>
                <w:sz w:val="24"/>
                <w:szCs w:val="24"/>
              </w:rPr>
            </w:pPr>
            <w:r>
              <w:rPr>
                <w:rFonts w:hint="eastAsia"/>
                <w:sz w:val="24"/>
                <w:szCs w:val="24"/>
              </w:rPr>
              <w:t>保密期限；</w:t>
            </w:r>
          </w:p>
          <w:p>
            <w:pPr>
              <w:pStyle w:val="12"/>
              <w:numPr>
                <w:ilvl w:val="0"/>
                <w:numId w:val="6"/>
              </w:numPr>
              <w:ind w:firstLineChars="0"/>
              <w:rPr>
                <w:sz w:val="24"/>
                <w:szCs w:val="24"/>
              </w:rPr>
            </w:pPr>
            <w:r>
              <w:rPr>
                <w:rFonts w:hint="eastAsia"/>
                <w:sz w:val="24"/>
                <w:szCs w:val="24"/>
              </w:rPr>
              <w:t>泄密责任。</w:t>
            </w:r>
          </w:p>
        </w:tc>
        <w:tc>
          <w:tcPr>
            <w:tcW w:w="5811" w:type="dxa"/>
            <w:shd w:val="clear" w:color="auto" w:fill="DEEAF6" w:themeFill="accent5" w:themeFillTint="33"/>
            <w:vAlign w:val="center"/>
          </w:tcPr>
          <w:p>
            <w:pPr>
              <w:spacing w:line="500" w:lineRule="exact"/>
              <w:rPr>
                <w:sz w:val="24"/>
                <w:szCs w:val="24"/>
              </w:rPr>
            </w:pPr>
            <w:r>
              <w:rPr>
                <w:rFonts w:hint="eastAsia"/>
                <w:sz w:val="24"/>
                <w:szCs w:val="24"/>
              </w:rPr>
              <w:t>例：甲方应遵守以下保密义务：（1）保密内容：包括与本合同有关的产品设计、工艺规程、材料配方和其它图纸、报告等技术文件以及企业商业信息等；（2）保密人员范围:  参与本合同的开发人员和其他工作人员；（3）保密期限：自合同生效后二十年；（4）泄密责任： 承担因泄密给乙方造成的经济损失。</w:t>
            </w:r>
          </w:p>
          <w:p>
            <w:pPr>
              <w:rPr>
                <w:sz w:val="24"/>
                <w:szCs w:val="24"/>
              </w:rPr>
            </w:pPr>
            <w:r>
              <w:rPr>
                <w:rFonts w:hint="eastAsia"/>
                <w:sz w:val="24"/>
                <w:szCs w:val="24"/>
              </w:rPr>
              <w:t>乙方应遵守以下保密义务：……</w:t>
            </w:r>
          </w:p>
        </w:tc>
        <w:tc>
          <w:tcPr>
            <w:tcW w:w="3402" w:type="dxa"/>
            <w:shd w:val="clear" w:color="auto" w:fill="DEEAF6" w:themeFill="accent5" w:themeFillTint="33"/>
            <w:vAlign w:val="center"/>
          </w:tcPr>
          <w:p>
            <w:pPr>
              <w:rPr>
                <w:sz w:val="24"/>
                <w:szCs w:val="24"/>
              </w:rPr>
            </w:pPr>
            <w:r>
              <w:rPr>
                <w:rFonts w:hint="eastAsia"/>
                <w:sz w:val="24"/>
                <w:szCs w:val="24"/>
              </w:rPr>
              <w:t>1.保密内容可采用“概况加列举”的方式规定；</w:t>
            </w:r>
          </w:p>
          <w:p>
            <w:pPr>
              <w:rPr>
                <w:sz w:val="24"/>
                <w:szCs w:val="24"/>
              </w:rPr>
            </w:pPr>
            <w:r>
              <w:rPr>
                <w:rFonts w:hint="eastAsia"/>
                <w:sz w:val="24"/>
                <w:szCs w:val="24"/>
              </w:rPr>
              <w:t>2.保密期限一般应长于合同期限；</w:t>
            </w:r>
          </w:p>
          <w:p>
            <w:pPr>
              <w:rPr>
                <w:sz w:val="24"/>
                <w:szCs w:val="24"/>
              </w:rPr>
            </w:pPr>
            <w:r>
              <w:rPr>
                <w:rFonts w:hint="eastAsia"/>
                <w:sz w:val="24"/>
                <w:szCs w:val="24"/>
              </w:rPr>
              <w:t>3.以下信息一般不属于保密信息：（1）接收方在提供方提供前通过合法途径已掌握的信息；（2）非因接收方原因已被公众所知悉的信息；（3）接收方在未利用保密信息的情况下独立开发的信息；（4）从不承担保密义务的第三方获悉的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418" w:type="dxa"/>
            <w:tcBorders>
              <w:left w:val="nil"/>
            </w:tcBorders>
            <w:shd w:val="clear" w:color="auto" w:fill="5B9BD5" w:themeFill="accent5"/>
            <w:vAlign w:val="center"/>
          </w:tcPr>
          <w:p>
            <w:pPr>
              <w:jc w:val="center"/>
              <w:rPr>
                <w:b/>
                <w:bCs/>
                <w:color w:val="FFFFFF" w:themeColor="background1"/>
                <w:sz w:val="28"/>
                <w:szCs w:val="28"/>
                <w14:textFill>
                  <w14:solidFill>
                    <w14:schemeClr w14:val="bg1"/>
                  </w14:solidFill>
                </w14:textFill>
              </w:rPr>
            </w:pPr>
            <w:r>
              <w:rPr>
                <w:rFonts w:hint="eastAsia"/>
                <w:b/>
                <w:bCs/>
                <w:color w:val="FFFFFF" w:themeColor="background1"/>
                <w:sz w:val="28"/>
                <w:szCs w:val="28"/>
                <w14:textFill>
                  <w14:solidFill>
                    <w14:schemeClr w14:val="bg1"/>
                  </w14:solidFill>
                </w14:textFill>
              </w:rPr>
              <w:t>知识产权</w:t>
            </w:r>
          </w:p>
        </w:tc>
        <w:tc>
          <w:tcPr>
            <w:tcW w:w="3686" w:type="dxa"/>
            <w:shd w:val="clear" w:color="auto" w:fill="BDD6EE" w:themeFill="accent5" w:themeFillTint="66"/>
            <w:vAlign w:val="center"/>
          </w:tcPr>
          <w:p>
            <w:pPr>
              <w:rPr>
                <w:sz w:val="24"/>
                <w:szCs w:val="24"/>
              </w:rPr>
            </w:pPr>
            <w:r>
              <w:rPr>
                <w:rFonts w:hint="eastAsia"/>
                <w:sz w:val="24"/>
                <w:szCs w:val="24"/>
              </w:rPr>
              <w:t>1.知识产权归属（背景知识产权、合同履行过程中产生的知识产权、合同履行最终产生的知识产权、后续改进等）；</w:t>
            </w:r>
          </w:p>
          <w:p>
            <w:pPr>
              <w:rPr>
                <w:sz w:val="24"/>
                <w:szCs w:val="24"/>
              </w:rPr>
            </w:pPr>
            <w:r>
              <w:rPr>
                <w:rFonts w:hint="eastAsia"/>
                <w:sz w:val="24"/>
                <w:szCs w:val="24"/>
              </w:rPr>
              <w:t>2.知识产权的对外许可或转让权；</w:t>
            </w:r>
          </w:p>
          <w:p>
            <w:pPr>
              <w:rPr>
                <w:sz w:val="24"/>
                <w:szCs w:val="24"/>
              </w:rPr>
            </w:pPr>
            <w:r>
              <w:rPr>
                <w:rFonts w:hint="eastAsia"/>
                <w:sz w:val="24"/>
                <w:szCs w:val="24"/>
              </w:rPr>
              <w:t>3.知识产权利益分配；</w:t>
            </w:r>
          </w:p>
          <w:p>
            <w:pPr>
              <w:rPr>
                <w:sz w:val="24"/>
                <w:szCs w:val="24"/>
              </w:rPr>
            </w:pPr>
            <w:r>
              <w:rPr>
                <w:rFonts w:hint="eastAsia"/>
                <w:sz w:val="24"/>
                <w:szCs w:val="24"/>
              </w:rPr>
              <w:t>4.其他知识产权相关约定（许可形式、许可规模、专利申请权等）。</w:t>
            </w:r>
          </w:p>
        </w:tc>
        <w:tc>
          <w:tcPr>
            <w:tcW w:w="5811" w:type="dxa"/>
            <w:shd w:val="clear" w:color="auto" w:fill="BDD6EE" w:themeFill="accent5" w:themeFillTint="66"/>
            <w:vAlign w:val="center"/>
          </w:tcPr>
          <w:p>
            <w:pPr>
              <w:rPr>
                <w:sz w:val="24"/>
                <w:szCs w:val="24"/>
              </w:rPr>
            </w:pPr>
            <w:r>
              <w:rPr>
                <w:rFonts w:hint="eastAsia"/>
                <w:sz w:val="24"/>
                <w:szCs w:val="24"/>
              </w:rPr>
              <w:t>例一：</w:t>
            </w:r>
            <w:r>
              <w:rPr>
                <w:sz w:val="24"/>
                <w:szCs w:val="24"/>
              </w:rPr>
              <w:t>经甲方审核、确认并采用的乙方设计制作等工作成果，在甲方支付全部费用后其著作权（版权）</w:t>
            </w:r>
            <w:r>
              <w:rPr>
                <w:rFonts w:hint="eastAsia"/>
                <w:sz w:val="24"/>
                <w:szCs w:val="24"/>
              </w:rPr>
              <w:t>及相关知识产权</w:t>
            </w:r>
            <w:r>
              <w:rPr>
                <w:sz w:val="24"/>
                <w:szCs w:val="24"/>
              </w:rPr>
              <w:t>归甲方所有。</w:t>
            </w:r>
          </w:p>
          <w:p>
            <w:pPr>
              <w:spacing w:line="600" w:lineRule="exact"/>
              <w:rPr>
                <w:color w:val="FF0000"/>
                <w:sz w:val="24"/>
                <w:szCs w:val="24"/>
              </w:rPr>
            </w:pPr>
            <w:r>
              <w:rPr>
                <w:rFonts w:hint="eastAsia"/>
                <w:sz w:val="24"/>
                <w:szCs w:val="24"/>
              </w:rPr>
              <w:t>例二：（1）本合同签订前，</w:t>
            </w:r>
            <w:r>
              <w:rPr>
                <w:sz w:val="24"/>
                <w:szCs w:val="24"/>
              </w:rPr>
              <w:t>甲乙双方已有的技术成果归原持有者所有</w:t>
            </w:r>
            <w:r>
              <w:rPr>
                <w:rFonts w:hint="eastAsia"/>
                <w:sz w:val="24"/>
                <w:szCs w:val="24"/>
              </w:rPr>
              <w:t>；（2）本合同签订后，因本合同履行所产生的新的知识产权（含工艺技术、核心设备、生产工艺技术及相关专利、研究论文等）归属于双方共同所有，产权比例分配方式为甲方占49%，乙方占51%，甲乙双方均有权决定将新的知识产权以普通许可的方式对外许可或转让，所得收益按上述比例分配；（3）任何一方有权利用本合同项目研究开发所完成的技术成果，进行后续改进。由此产生的具有实质性或创造性技术进步特征的新的技术成果，归完成方所有。</w:t>
            </w:r>
          </w:p>
        </w:tc>
        <w:tc>
          <w:tcPr>
            <w:tcW w:w="3402" w:type="dxa"/>
            <w:shd w:val="clear" w:color="auto" w:fill="BDD6EE" w:themeFill="accent5" w:themeFillTint="66"/>
            <w:vAlign w:val="center"/>
          </w:tcPr>
          <w:p>
            <w:pPr>
              <w:rPr>
                <w:sz w:val="24"/>
                <w:szCs w:val="24"/>
              </w:rPr>
            </w:pPr>
            <w:r>
              <w:rPr>
                <w:rFonts w:hint="eastAsia"/>
                <w:sz w:val="24"/>
                <w:szCs w:val="24"/>
              </w:rPr>
              <w:t>1.充分考虑新产生知识产权以后对外许可或转让的可能性，尽量掌握对外许可或转让的主动性，避免技术进一步应用被对方限制；</w:t>
            </w:r>
          </w:p>
          <w:p>
            <w:pPr>
              <w:rPr>
                <w:sz w:val="24"/>
                <w:szCs w:val="24"/>
              </w:rPr>
            </w:pPr>
            <w:r>
              <w:rPr>
                <w:rFonts w:hint="eastAsia"/>
                <w:sz w:val="24"/>
                <w:szCs w:val="24"/>
              </w:rPr>
              <w:t>2.知识产权利益分配的约定需明确、具体。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418" w:type="dxa"/>
            <w:tcBorders>
              <w:left w:val="nil"/>
            </w:tcBorders>
            <w:shd w:val="clear" w:color="auto" w:fill="5B9BD5" w:themeFill="accent5"/>
            <w:vAlign w:val="center"/>
          </w:tcPr>
          <w:p>
            <w:pPr>
              <w:jc w:val="center"/>
              <w:rPr>
                <w:b/>
                <w:bCs/>
                <w:color w:val="FFFFFF" w:themeColor="background1"/>
                <w:sz w:val="28"/>
                <w:szCs w:val="28"/>
                <w14:textFill>
                  <w14:solidFill>
                    <w14:schemeClr w14:val="bg1"/>
                  </w14:solidFill>
                </w14:textFill>
              </w:rPr>
            </w:pPr>
            <w:r>
              <w:rPr>
                <w:rFonts w:hint="eastAsia"/>
                <w:b/>
                <w:bCs/>
                <w:color w:val="FFFFFF" w:themeColor="background1"/>
                <w:sz w:val="28"/>
                <w:szCs w:val="28"/>
                <w14:textFill>
                  <w14:solidFill>
                    <w14:schemeClr w14:val="bg1"/>
                  </w14:solidFill>
                </w14:textFill>
              </w:rPr>
              <w:t>违约责任</w:t>
            </w:r>
          </w:p>
        </w:tc>
        <w:tc>
          <w:tcPr>
            <w:tcW w:w="3686" w:type="dxa"/>
            <w:shd w:val="clear" w:color="auto" w:fill="DEEAF6" w:themeFill="accent5" w:themeFillTint="33"/>
            <w:vAlign w:val="center"/>
          </w:tcPr>
          <w:p>
            <w:pPr>
              <w:tabs>
                <w:tab w:val="left" w:pos="312"/>
              </w:tabs>
              <w:rPr>
                <w:color w:val="FF0000"/>
                <w:sz w:val="24"/>
                <w:szCs w:val="24"/>
              </w:rPr>
            </w:pPr>
            <w:r>
              <w:rPr>
                <w:rFonts w:hint="eastAsia"/>
                <w:sz w:val="24"/>
                <w:szCs w:val="24"/>
              </w:rPr>
              <w:t>对照双方合同义务确定违约情形，如逾期付款、逾期交货、逾期完成阶段性任务、不履行合同义务等。</w:t>
            </w:r>
          </w:p>
        </w:tc>
        <w:tc>
          <w:tcPr>
            <w:tcW w:w="5811" w:type="dxa"/>
            <w:shd w:val="clear" w:color="auto" w:fill="DEEAF6" w:themeFill="accent5" w:themeFillTint="33"/>
            <w:vAlign w:val="center"/>
          </w:tcPr>
          <w:p>
            <w:pPr>
              <w:pStyle w:val="3"/>
              <w:rPr>
                <w:rFonts w:asciiTheme="minorHAnsi" w:hAnsiTheme="minorHAnsi" w:cstheme="minorBidi"/>
                <w:sz w:val="24"/>
                <w:szCs w:val="24"/>
              </w:rPr>
            </w:pPr>
            <w:r>
              <w:rPr>
                <w:rFonts w:hint="eastAsia" w:asciiTheme="minorHAnsi" w:hAnsiTheme="minorHAnsi" w:cstheme="minorBidi"/>
                <w:sz w:val="24"/>
                <w:szCs w:val="24"/>
              </w:rPr>
              <w:t>例一：（1）乙方逾期交货的，每延期一天，乙方应向甲方支付延期交货部分货款总值2%的违约金，并承担甲方因此所受的损失及费用，逾期超过30天，甲方有权解除合同，同时保留上述向乙方追究违约责任的权利；（2）甲方未按约定时间支付费用的，应向乙方支付逾期付款违约金，每逾期一日应向乙方支付应付费用的0.5‰作为逾期付款违约金；（3）除本合同另有约定外，因一方原因未能履行或未能全部履行合同约定的义务导致另一方损失的，违约方应当赔偿守约方损失。</w:t>
            </w:r>
          </w:p>
          <w:p>
            <w:pPr>
              <w:rPr>
                <w:color w:val="FF0000"/>
                <w:sz w:val="24"/>
                <w:szCs w:val="24"/>
              </w:rPr>
            </w:pPr>
            <w:r>
              <w:rPr>
                <w:rFonts w:hint="eastAsia"/>
                <w:sz w:val="24"/>
                <w:szCs w:val="24"/>
              </w:rPr>
              <w:t>例二：（1）一方违反合同约定造成另一方工作停滞、延误或者失败的，应当赔偿守约方损失；逾期6个月的，守约方有权解除合同，已取得的知识产权归守约方所有；（2）双方承担违约金、赔偿金总额以甲方已支付金额为限。</w:t>
            </w:r>
          </w:p>
        </w:tc>
        <w:tc>
          <w:tcPr>
            <w:tcW w:w="3402" w:type="dxa"/>
            <w:shd w:val="clear" w:color="auto" w:fill="DEEAF6" w:themeFill="accent5" w:themeFillTint="33"/>
            <w:vAlign w:val="center"/>
          </w:tcPr>
          <w:p>
            <w:pPr>
              <w:rPr>
                <w:sz w:val="24"/>
                <w:szCs w:val="24"/>
              </w:rPr>
            </w:pPr>
            <w:r>
              <w:rPr>
                <w:rFonts w:hint="eastAsia"/>
                <w:sz w:val="24"/>
                <w:szCs w:val="24"/>
              </w:rPr>
              <w:t>1.注意解除权的运用，如违约导致损失过大或无法继续履行合同，应约定守约方的解除权；</w:t>
            </w:r>
          </w:p>
          <w:p>
            <w:pPr>
              <w:rPr>
                <w:sz w:val="24"/>
                <w:szCs w:val="24"/>
              </w:rPr>
            </w:pPr>
            <w:r>
              <w:rPr>
                <w:rFonts w:hint="eastAsia"/>
                <w:sz w:val="24"/>
                <w:szCs w:val="24"/>
              </w:rPr>
              <w:t>2.应在充分考虑双方违约的可能性的基础上确定违约责任；</w:t>
            </w:r>
          </w:p>
          <w:p>
            <w:pPr>
              <w:rPr>
                <w:sz w:val="24"/>
                <w:szCs w:val="24"/>
              </w:rPr>
            </w:pPr>
            <w:r>
              <w:rPr>
                <w:rFonts w:hint="eastAsia"/>
                <w:sz w:val="24"/>
                <w:szCs w:val="24"/>
              </w:rPr>
              <w:t>3.一般对我方违约产生的违约金、赔偿金等的总额设置上限，避免损失过大。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418" w:type="dxa"/>
            <w:tcBorders>
              <w:left w:val="nil"/>
            </w:tcBorders>
            <w:shd w:val="clear" w:color="auto" w:fill="5B9BD5" w:themeFill="accent5"/>
            <w:vAlign w:val="center"/>
          </w:tcPr>
          <w:p>
            <w:pPr>
              <w:jc w:val="center"/>
              <w:rPr>
                <w:b/>
                <w:bCs/>
                <w:color w:val="FFFFFF" w:themeColor="background1"/>
                <w:sz w:val="28"/>
                <w:szCs w:val="28"/>
                <w14:textFill>
                  <w14:solidFill>
                    <w14:schemeClr w14:val="bg1"/>
                  </w14:solidFill>
                </w14:textFill>
              </w:rPr>
            </w:pPr>
            <w:r>
              <w:rPr>
                <w:rFonts w:hint="eastAsia"/>
                <w:b/>
                <w:bCs/>
                <w:color w:val="FFFFFF" w:themeColor="background1"/>
                <w:sz w:val="28"/>
                <w:szCs w:val="28"/>
                <w14:textFill>
                  <w14:solidFill>
                    <w14:schemeClr w14:val="bg1"/>
                  </w14:solidFill>
                </w14:textFill>
              </w:rPr>
              <w:t>免责条款</w:t>
            </w:r>
          </w:p>
        </w:tc>
        <w:tc>
          <w:tcPr>
            <w:tcW w:w="3686" w:type="dxa"/>
            <w:shd w:val="clear" w:color="auto" w:fill="BDD6EE" w:themeFill="accent5" w:themeFillTint="66"/>
            <w:vAlign w:val="center"/>
          </w:tcPr>
          <w:p>
            <w:pPr>
              <w:pStyle w:val="12"/>
              <w:numPr>
                <w:ilvl w:val="0"/>
                <w:numId w:val="7"/>
              </w:numPr>
              <w:ind w:firstLineChars="0"/>
              <w:rPr>
                <w:sz w:val="24"/>
                <w:szCs w:val="24"/>
              </w:rPr>
            </w:pPr>
            <w:r>
              <w:rPr>
                <w:rFonts w:hint="eastAsia"/>
                <w:sz w:val="24"/>
                <w:szCs w:val="24"/>
              </w:rPr>
              <w:t>不可抗力；</w:t>
            </w:r>
          </w:p>
          <w:p>
            <w:pPr>
              <w:pStyle w:val="12"/>
              <w:numPr>
                <w:ilvl w:val="0"/>
                <w:numId w:val="7"/>
              </w:numPr>
              <w:ind w:firstLineChars="0"/>
              <w:rPr>
                <w:sz w:val="24"/>
                <w:szCs w:val="24"/>
              </w:rPr>
            </w:pPr>
            <w:r>
              <w:rPr>
                <w:rFonts w:hint="eastAsia"/>
                <w:sz w:val="24"/>
                <w:szCs w:val="24"/>
              </w:rPr>
              <w:t>技术风险；</w:t>
            </w:r>
          </w:p>
          <w:p>
            <w:pPr>
              <w:pStyle w:val="12"/>
              <w:numPr>
                <w:ilvl w:val="0"/>
                <w:numId w:val="7"/>
              </w:numPr>
              <w:ind w:firstLineChars="0"/>
              <w:rPr>
                <w:sz w:val="24"/>
                <w:szCs w:val="24"/>
              </w:rPr>
            </w:pPr>
            <w:r>
              <w:rPr>
                <w:rFonts w:hint="eastAsia"/>
                <w:sz w:val="24"/>
                <w:szCs w:val="24"/>
              </w:rPr>
              <w:t>其他约定免责</w:t>
            </w:r>
          </w:p>
        </w:tc>
        <w:tc>
          <w:tcPr>
            <w:tcW w:w="5811" w:type="dxa"/>
            <w:shd w:val="clear" w:color="auto" w:fill="BDD6EE" w:themeFill="accent5" w:themeFillTint="66"/>
            <w:vAlign w:val="center"/>
          </w:tcPr>
          <w:p>
            <w:pPr>
              <w:rPr>
                <w:sz w:val="24"/>
                <w:szCs w:val="24"/>
              </w:rPr>
            </w:pPr>
            <w:r>
              <w:rPr>
                <w:rFonts w:hint="eastAsia"/>
                <w:sz w:val="24"/>
                <w:szCs w:val="24"/>
              </w:rPr>
              <w:t>例一：不可抗力：因发生地震、台风、水灾、火灾、战争等不可抗力事故，直接影响本协议履行时，遇有上述不可抗力的一方，应立即将事故情况通知对方，并应在不可抗力事故发生之日起</w:t>
            </w:r>
            <w:r>
              <w:rPr>
                <w:sz w:val="24"/>
                <w:szCs w:val="24"/>
              </w:rPr>
              <w:t>15</w:t>
            </w:r>
            <w:r>
              <w:rPr>
                <w:rFonts w:hint="eastAsia"/>
                <w:sz w:val="24"/>
                <w:szCs w:val="24"/>
              </w:rPr>
              <w:t>日之内，提供事故详情及合同不能履行、部分不能履行或者需要延期履行的理由的有效证明文件。按照事故对履行本合同影响的程度，由双方协商决定是否解除或部分免除履约责任或延期履行本合同。</w:t>
            </w:r>
          </w:p>
          <w:p>
            <w:pPr>
              <w:rPr>
                <w:sz w:val="24"/>
                <w:szCs w:val="24"/>
              </w:rPr>
            </w:pPr>
            <w:r>
              <w:rPr>
                <w:rFonts w:hint="eastAsia"/>
                <w:sz w:val="24"/>
                <w:szCs w:val="24"/>
              </w:rPr>
              <w:t>例二：技术风险：在本合同履行中，因出现在现有技术水平和条件下难以克服的技术困难，导致研究开发失败或部分失败，不视为违约。由此造成合作一方或多方损失的，合作各方约定按以下方式承担风险损失：</w:t>
            </w:r>
          </w:p>
          <w:p>
            <w:pPr>
              <w:rPr>
                <w:sz w:val="24"/>
                <w:szCs w:val="24"/>
              </w:rPr>
            </w:pPr>
            <w:r>
              <w:rPr>
                <w:rFonts w:hint="eastAsia"/>
                <w:sz w:val="24"/>
                <w:szCs w:val="24"/>
              </w:rPr>
              <w:t>（1）</w:t>
            </w:r>
            <w:r>
              <w:rPr>
                <w:sz w:val="24"/>
                <w:szCs w:val="24"/>
              </w:rPr>
              <w:t xml:space="preserve"> </w:t>
            </w:r>
            <w:r>
              <w:rPr>
                <w:rFonts w:hint="eastAsia"/>
                <w:sz w:val="24"/>
                <w:szCs w:val="24"/>
              </w:rPr>
              <w:t>技术合作风险各方共同承担，产生的损失由各方各自负担；</w:t>
            </w:r>
          </w:p>
          <w:p>
            <w:pPr>
              <w:rPr>
                <w:sz w:val="24"/>
                <w:szCs w:val="24"/>
              </w:rPr>
            </w:pPr>
            <w:r>
              <w:rPr>
                <w:rFonts w:hint="eastAsia"/>
                <w:sz w:val="24"/>
                <w:szCs w:val="24"/>
              </w:rPr>
              <w:t>（2）甲方已支付的费用不再追回。</w:t>
            </w:r>
          </w:p>
          <w:p>
            <w:pPr>
              <w:rPr>
                <w:sz w:val="24"/>
                <w:szCs w:val="24"/>
              </w:rPr>
            </w:pPr>
          </w:p>
        </w:tc>
        <w:tc>
          <w:tcPr>
            <w:tcW w:w="3402" w:type="dxa"/>
            <w:shd w:val="clear" w:color="auto" w:fill="BDD6EE" w:themeFill="accent5" w:themeFillTint="66"/>
            <w:vAlign w:val="center"/>
          </w:tcPr>
          <w:p>
            <w:pPr>
              <w:pStyle w:val="12"/>
              <w:numPr>
                <w:ilvl w:val="0"/>
                <w:numId w:val="8"/>
              </w:numPr>
              <w:ind w:firstLineChars="0"/>
              <w:rPr>
                <w:sz w:val="24"/>
                <w:szCs w:val="24"/>
              </w:rPr>
            </w:pPr>
            <w:r>
              <w:rPr>
                <w:rFonts w:hint="eastAsia"/>
                <w:sz w:val="24"/>
                <w:szCs w:val="24"/>
              </w:rPr>
              <w:t>不可抗力属于法定免责；</w:t>
            </w:r>
          </w:p>
          <w:p>
            <w:pPr>
              <w:pStyle w:val="12"/>
              <w:numPr>
                <w:ilvl w:val="0"/>
                <w:numId w:val="8"/>
              </w:numPr>
              <w:ind w:firstLineChars="0"/>
              <w:rPr>
                <w:sz w:val="24"/>
                <w:szCs w:val="24"/>
              </w:rPr>
            </w:pPr>
            <w:r>
              <w:rPr>
                <w:rFonts w:hint="eastAsia"/>
                <w:sz w:val="24"/>
                <w:szCs w:val="24"/>
              </w:rPr>
              <w:t>技术风险应约定风险承担方式，如无约定或约定不明确，则风险依法由当事人合理分担；</w:t>
            </w:r>
          </w:p>
          <w:p>
            <w:pPr>
              <w:pStyle w:val="12"/>
              <w:numPr>
                <w:ilvl w:val="0"/>
                <w:numId w:val="8"/>
              </w:numPr>
              <w:ind w:firstLineChars="0"/>
              <w:rPr>
                <w:sz w:val="24"/>
                <w:szCs w:val="24"/>
              </w:rPr>
            </w:pPr>
            <w:r>
              <w:rPr>
                <w:rFonts w:hint="eastAsia"/>
                <w:sz w:val="24"/>
                <w:szCs w:val="24"/>
              </w:rPr>
              <w:t>其他约定免责。合同中可以约定免除未来责任的条款，但以下三种免责条款无效：（1）造成对方人身损害的；（2）因故意或重大过失造成对方财产损失的；（3）部分格式条款：提供格式条款一方不合理免除或者减轻其责任、加重对方责任、限制对方主要权利，或排除对方主要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418" w:type="dxa"/>
            <w:tcBorders>
              <w:left w:val="nil"/>
            </w:tcBorders>
            <w:shd w:val="clear" w:color="auto" w:fill="5B9BD5" w:themeFill="accent5"/>
            <w:vAlign w:val="center"/>
          </w:tcPr>
          <w:p>
            <w:pPr>
              <w:jc w:val="center"/>
              <w:rPr>
                <w:b/>
                <w:bCs/>
                <w:color w:val="FFFFFF" w:themeColor="background1"/>
                <w:sz w:val="28"/>
                <w:szCs w:val="28"/>
                <w14:textFill>
                  <w14:solidFill>
                    <w14:schemeClr w14:val="bg1"/>
                  </w14:solidFill>
                </w14:textFill>
              </w:rPr>
            </w:pPr>
            <w:r>
              <w:rPr>
                <w:rFonts w:hint="eastAsia"/>
                <w:b/>
                <w:bCs/>
                <w:color w:val="FFFFFF" w:themeColor="background1"/>
                <w:sz w:val="28"/>
                <w:szCs w:val="28"/>
                <w14:textFill>
                  <w14:solidFill>
                    <w14:schemeClr w14:val="bg1"/>
                  </w14:solidFill>
                </w14:textFill>
              </w:rPr>
              <w:t>争议解决</w:t>
            </w:r>
          </w:p>
        </w:tc>
        <w:tc>
          <w:tcPr>
            <w:tcW w:w="3686" w:type="dxa"/>
            <w:shd w:val="clear" w:color="auto" w:fill="DEEAF6" w:themeFill="accent5" w:themeFillTint="33"/>
            <w:vAlign w:val="center"/>
          </w:tcPr>
          <w:p>
            <w:pPr>
              <w:pStyle w:val="12"/>
              <w:numPr>
                <w:ilvl w:val="0"/>
                <w:numId w:val="9"/>
              </w:numPr>
              <w:ind w:firstLineChars="0"/>
              <w:rPr>
                <w:sz w:val="24"/>
                <w:szCs w:val="24"/>
              </w:rPr>
            </w:pPr>
            <w:r>
              <w:rPr>
                <w:rFonts w:hint="eastAsia"/>
                <w:sz w:val="24"/>
                <w:szCs w:val="24"/>
              </w:rPr>
              <w:t>管辖法院；</w:t>
            </w:r>
          </w:p>
          <w:p>
            <w:pPr>
              <w:rPr>
                <w:sz w:val="24"/>
                <w:szCs w:val="24"/>
              </w:rPr>
            </w:pPr>
            <w:r>
              <w:rPr>
                <w:rFonts w:hint="eastAsia"/>
                <w:sz w:val="24"/>
                <w:szCs w:val="24"/>
              </w:rPr>
              <w:t>或2.仲裁条款</w:t>
            </w:r>
          </w:p>
        </w:tc>
        <w:tc>
          <w:tcPr>
            <w:tcW w:w="5811" w:type="dxa"/>
            <w:shd w:val="clear" w:color="auto" w:fill="DEEAF6" w:themeFill="accent5" w:themeFillTint="33"/>
            <w:vAlign w:val="center"/>
          </w:tcPr>
          <w:p>
            <w:pPr>
              <w:rPr>
                <w:sz w:val="24"/>
                <w:szCs w:val="24"/>
              </w:rPr>
            </w:pPr>
            <w:r>
              <w:rPr>
                <w:rFonts w:hint="eastAsia"/>
                <w:sz w:val="24"/>
                <w:szCs w:val="24"/>
              </w:rPr>
              <w:t>例一：双方因履行本合同发生争议，应友好协商解决，协商不成的，可向合同签订地人民法院提起诉讼。</w:t>
            </w:r>
          </w:p>
          <w:p>
            <w:pPr>
              <w:rPr>
                <w:sz w:val="24"/>
                <w:szCs w:val="24"/>
              </w:rPr>
            </w:pPr>
            <w:r>
              <w:rPr>
                <w:rFonts w:hint="eastAsia"/>
                <w:sz w:val="24"/>
                <w:szCs w:val="24"/>
              </w:rPr>
              <w:t>例二：双方因履行本合同发生争议，应友好协商解决，协商补成的，可向大连仲裁委员会提起仲裁。</w:t>
            </w:r>
          </w:p>
        </w:tc>
        <w:tc>
          <w:tcPr>
            <w:tcW w:w="3402" w:type="dxa"/>
            <w:shd w:val="clear" w:color="auto" w:fill="DEEAF6" w:themeFill="accent5" w:themeFillTint="33"/>
            <w:vAlign w:val="center"/>
          </w:tcPr>
          <w:p>
            <w:pPr>
              <w:pStyle w:val="12"/>
              <w:numPr>
                <w:ilvl w:val="0"/>
                <w:numId w:val="10"/>
              </w:numPr>
              <w:ind w:firstLineChars="0"/>
              <w:rPr>
                <w:sz w:val="24"/>
                <w:szCs w:val="24"/>
              </w:rPr>
            </w:pPr>
            <w:r>
              <w:rPr>
                <w:rFonts w:hint="eastAsia"/>
                <w:sz w:val="24"/>
                <w:szCs w:val="24"/>
              </w:rPr>
              <w:t>管辖法院可约定原告/被告/甲方/乙方/合同签订地/合同履行地等与合同相关的人民法院；</w:t>
            </w:r>
          </w:p>
          <w:p>
            <w:pPr>
              <w:pStyle w:val="12"/>
              <w:numPr>
                <w:ilvl w:val="0"/>
                <w:numId w:val="10"/>
              </w:numPr>
              <w:ind w:firstLineChars="0"/>
              <w:rPr>
                <w:sz w:val="24"/>
                <w:szCs w:val="24"/>
              </w:rPr>
            </w:pPr>
            <w:r>
              <w:rPr>
                <w:rFonts w:hint="eastAsia"/>
                <w:sz w:val="24"/>
                <w:szCs w:val="24"/>
              </w:rPr>
              <w:t>如约定仲裁解决，需指定唯一的仲裁委员会；</w:t>
            </w:r>
          </w:p>
          <w:p>
            <w:pPr>
              <w:pStyle w:val="12"/>
              <w:numPr>
                <w:ilvl w:val="0"/>
                <w:numId w:val="10"/>
              </w:numPr>
              <w:ind w:firstLineChars="0"/>
              <w:rPr>
                <w:sz w:val="24"/>
                <w:szCs w:val="24"/>
              </w:rPr>
            </w:pPr>
            <w:r>
              <w:rPr>
                <w:rFonts w:hint="eastAsia"/>
                <w:sz w:val="24"/>
                <w:szCs w:val="24"/>
              </w:rPr>
              <w:t>如约定由有管辖权的人民法院或仲裁解决，则仲裁条款无效，只能向法院起诉。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418" w:type="dxa"/>
            <w:tcBorders>
              <w:left w:val="nil"/>
            </w:tcBorders>
            <w:shd w:val="clear" w:color="auto" w:fill="5B9BD5" w:themeFill="accent5"/>
            <w:vAlign w:val="center"/>
          </w:tcPr>
          <w:p>
            <w:pPr>
              <w:jc w:val="center"/>
              <w:rPr>
                <w:b/>
                <w:bCs/>
                <w:color w:val="FFFFFF" w:themeColor="background1"/>
                <w:sz w:val="28"/>
                <w:szCs w:val="28"/>
                <w14:textFill>
                  <w14:solidFill>
                    <w14:schemeClr w14:val="bg1"/>
                  </w14:solidFill>
                </w14:textFill>
              </w:rPr>
            </w:pPr>
            <w:r>
              <w:rPr>
                <w:rFonts w:hint="eastAsia"/>
                <w:b/>
                <w:bCs/>
                <w:color w:val="FFFFFF" w:themeColor="background1"/>
                <w:sz w:val="28"/>
                <w:szCs w:val="28"/>
                <w14:textFill>
                  <w14:solidFill>
                    <w14:schemeClr w14:val="bg1"/>
                  </w14:solidFill>
                </w14:textFill>
              </w:rPr>
              <w:t>附件条款</w:t>
            </w:r>
          </w:p>
        </w:tc>
        <w:tc>
          <w:tcPr>
            <w:tcW w:w="3686" w:type="dxa"/>
            <w:shd w:val="clear" w:color="auto" w:fill="BDD6EE" w:themeFill="accent5" w:themeFillTint="66"/>
            <w:vAlign w:val="center"/>
          </w:tcPr>
          <w:p>
            <w:pPr>
              <w:rPr>
                <w:sz w:val="24"/>
                <w:szCs w:val="24"/>
              </w:rPr>
            </w:pPr>
            <w:r>
              <w:rPr>
                <w:rFonts w:hint="eastAsia"/>
                <w:sz w:val="24"/>
                <w:szCs w:val="24"/>
              </w:rPr>
              <w:t>附件具体名称分项列明</w:t>
            </w:r>
          </w:p>
        </w:tc>
        <w:tc>
          <w:tcPr>
            <w:tcW w:w="5811" w:type="dxa"/>
            <w:shd w:val="clear" w:color="auto" w:fill="BDD6EE" w:themeFill="accent5" w:themeFillTint="66"/>
            <w:vAlign w:val="center"/>
          </w:tcPr>
          <w:p>
            <w:pPr>
              <w:rPr>
                <w:sz w:val="24"/>
                <w:szCs w:val="24"/>
              </w:rPr>
            </w:pPr>
            <w:r>
              <w:rPr>
                <w:rFonts w:hint="eastAsia"/>
                <w:sz w:val="24"/>
                <w:szCs w:val="24"/>
              </w:rPr>
              <w:t>例：与履行本合同有关的下列文件，经双方确认后，作为本合同的组成部分：</w:t>
            </w:r>
          </w:p>
          <w:p>
            <w:pPr>
              <w:rPr>
                <w:sz w:val="24"/>
                <w:szCs w:val="24"/>
              </w:rPr>
            </w:pPr>
            <w:r>
              <w:rPr>
                <w:rFonts w:hint="eastAsia"/>
                <w:sz w:val="24"/>
                <w:szCs w:val="24"/>
              </w:rPr>
              <w:t>附件1《XX设计标准和规范》；</w:t>
            </w:r>
          </w:p>
          <w:p>
            <w:pPr>
              <w:rPr>
                <w:sz w:val="24"/>
                <w:szCs w:val="24"/>
              </w:rPr>
            </w:pPr>
            <w:r>
              <w:rPr>
                <w:rFonts w:hint="eastAsia"/>
                <w:sz w:val="24"/>
                <w:szCs w:val="24"/>
              </w:rPr>
              <w:t>附件2《XX技术服务条款》……</w:t>
            </w:r>
          </w:p>
        </w:tc>
        <w:tc>
          <w:tcPr>
            <w:tcW w:w="3402" w:type="dxa"/>
            <w:shd w:val="clear" w:color="auto" w:fill="BDD6EE" w:themeFill="accent5" w:themeFillTint="66"/>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418" w:type="dxa"/>
            <w:tcBorders>
              <w:left w:val="nil"/>
              <w:bottom w:val="nil"/>
            </w:tcBorders>
            <w:shd w:val="clear" w:color="auto" w:fill="5B9BD5" w:themeFill="accent5"/>
            <w:vAlign w:val="center"/>
          </w:tcPr>
          <w:p>
            <w:pPr>
              <w:jc w:val="center"/>
              <w:rPr>
                <w:b/>
                <w:bCs/>
                <w:color w:val="FFFFFF" w:themeColor="background1"/>
                <w:sz w:val="28"/>
                <w:szCs w:val="28"/>
                <w14:textFill>
                  <w14:solidFill>
                    <w14:schemeClr w14:val="bg1"/>
                  </w14:solidFill>
                </w14:textFill>
              </w:rPr>
            </w:pPr>
            <w:r>
              <w:rPr>
                <w:rFonts w:hint="eastAsia"/>
                <w:b/>
                <w:bCs/>
                <w:color w:val="FFFFFF" w:themeColor="background1"/>
                <w:sz w:val="28"/>
                <w:szCs w:val="28"/>
                <w14:textFill>
                  <w14:solidFill>
                    <w14:schemeClr w14:val="bg1"/>
                  </w14:solidFill>
                </w14:textFill>
              </w:rPr>
              <w:t>签署条款</w:t>
            </w:r>
          </w:p>
        </w:tc>
        <w:tc>
          <w:tcPr>
            <w:tcW w:w="3686" w:type="dxa"/>
            <w:shd w:val="clear" w:color="auto" w:fill="DEEAF6" w:themeFill="accent5" w:themeFillTint="33"/>
            <w:vAlign w:val="center"/>
          </w:tcPr>
          <w:p>
            <w:pPr>
              <w:rPr>
                <w:sz w:val="24"/>
                <w:szCs w:val="24"/>
              </w:rPr>
            </w:pPr>
            <w:r>
              <w:rPr>
                <w:rFonts w:hint="eastAsia"/>
                <w:sz w:val="24"/>
                <w:szCs w:val="24"/>
              </w:rPr>
              <w:t>1.甲、乙双方名称；</w:t>
            </w:r>
          </w:p>
          <w:p>
            <w:pPr>
              <w:rPr>
                <w:sz w:val="24"/>
                <w:szCs w:val="24"/>
              </w:rPr>
            </w:pPr>
            <w:r>
              <w:rPr>
                <w:rFonts w:hint="eastAsia"/>
                <w:sz w:val="24"/>
                <w:szCs w:val="24"/>
              </w:rPr>
              <w:t>2.联系人、联系方式；</w:t>
            </w:r>
          </w:p>
          <w:p>
            <w:pPr>
              <w:rPr>
                <w:sz w:val="24"/>
                <w:szCs w:val="24"/>
              </w:rPr>
            </w:pPr>
            <w:r>
              <w:rPr>
                <w:rFonts w:hint="eastAsia"/>
                <w:sz w:val="24"/>
                <w:szCs w:val="24"/>
              </w:rPr>
              <w:t>3.签署日期。</w:t>
            </w:r>
          </w:p>
        </w:tc>
        <w:tc>
          <w:tcPr>
            <w:tcW w:w="5811" w:type="dxa"/>
            <w:shd w:val="clear" w:color="auto" w:fill="DEEAF6" w:themeFill="accent5" w:themeFillTint="33"/>
            <w:vAlign w:val="center"/>
          </w:tcPr>
          <w:p>
            <w:pPr>
              <w:rPr>
                <w:sz w:val="24"/>
                <w:szCs w:val="24"/>
              </w:rPr>
            </w:pPr>
            <w:r>
              <w:rPr>
                <w:rFonts w:hint="eastAsia"/>
                <w:sz w:val="24"/>
                <w:szCs w:val="24"/>
              </w:rPr>
              <w:t>例：甲方（盖章）：      乙方（盖章）：</w:t>
            </w:r>
          </w:p>
          <w:p>
            <w:pPr>
              <w:rPr>
                <w:sz w:val="24"/>
                <w:szCs w:val="24"/>
              </w:rPr>
            </w:pPr>
            <w:r>
              <w:rPr>
                <w:rFonts w:hint="eastAsia"/>
                <w:sz w:val="24"/>
                <w:szCs w:val="24"/>
              </w:rPr>
              <w:t>法人代表/委托代理人： 法人代表/委托代理人：</w:t>
            </w:r>
          </w:p>
          <w:p>
            <w:pPr>
              <w:rPr>
                <w:sz w:val="24"/>
                <w:szCs w:val="24"/>
              </w:rPr>
            </w:pPr>
            <w:r>
              <w:rPr>
                <w:rFonts w:hint="eastAsia"/>
                <w:sz w:val="24"/>
                <w:szCs w:val="24"/>
              </w:rPr>
              <w:t>联系人：              联系人：</w:t>
            </w:r>
          </w:p>
          <w:p>
            <w:pPr>
              <w:rPr>
                <w:sz w:val="24"/>
                <w:szCs w:val="24"/>
              </w:rPr>
            </w:pPr>
            <w:r>
              <w:rPr>
                <w:rFonts w:hint="eastAsia"/>
                <w:sz w:val="24"/>
                <w:szCs w:val="24"/>
              </w:rPr>
              <w:t>电  话：              电  话：</w:t>
            </w:r>
          </w:p>
          <w:p>
            <w:pPr>
              <w:rPr>
                <w:sz w:val="24"/>
                <w:szCs w:val="24"/>
              </w:rPr>
            </w:pPr>
            <w:r>
              <w:rPr>
                <w:rFonts w:hint="eastAsia"/>
                <w:sz w:val="24"/>
                <w:szCs w:val="24"/>
              </w:rPr>
              <w:t>传  真：              传  真：</w:t>
            </w:r>
          </w:p>
          <w:p>
            <w:pPr>
              <w:rPr>
                <w:sz w:val="24"/>
                <w:szCs w:val="24"/>
              </w:rPr>
            </w:pPr>
            <w:r>
              <w:rPr>
                <w:rFonts w:hint="eastAsia"/>
                <w:sz w:val="24"/>
                <w:szCs w:val="24"/>
              </w:rPr>
              <w:t>住  所：              住  所：</w:t>
            </w:r>
          </w:p>
          <w:p>
            <w:pPr>
              <w:snapToGrid w:val="0"/>
              <w:spacing w:line="520" w:lineRule="exact"/>
              <w:rPr>
                <w:rFonts w:ascii="仿宋" w:hAnsi="仿宋" w:eastAsia="仿宋"/>
                <w:bCs/>
                <w:sz w:val="24"/>
                <w:szCs w:val="24"/>
              </w:rPr>
            </w:pPr>
            <w:r>
              <w:rPr>
                <w:rFonts w:hint="eastAsia"/>
                <w:sz w:val="24"/>
                <w:szCs w:val="24"/>
              </w:rPr>
              <w:t>年 月 日                年 月 日</w:t>
            </w:r>
          </w:p>
        </w:tc>
        <w:tc>
          <w:tcPr>
            <w:tcW w:w="3402" w:type="dxa"/>
            <w:shd w:val="clear" w:color="auto" w:fill="DEEAF6" w:themeFill="accent5" w:themeFillTint="33"/>
            <w:vAlign w:val="center"/>
          </w:tcPr>
          <w:p>
            <w:pPr>
              <w:rPr>
                <w:sz w:val="24"/>
                <w:szCs w:val="24"/>
              </w:rPr>
            </w:pPr>
          </w:p>
        </w:tc>
      </w:tr>
    </w:tbl>
    <w:p>
      <w:pPr>
        <w:rPr>
          <w:color w:val="FF0000"/>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C7F27"/>
    <w:multiLevelType w:val="multilevel"/>
    <w:tmpl w:val="1A0C7F2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C465C5C"/>
    <w:multiLevelType w:val="multilevel"/>
    <w:tmpl w:val="1C465C5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0D17BC0"/>
    <w:multiLevelType w:val="multilevel"/>
    <w:tmpl w:val="30D17BC0"/>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1850493"/>
    <w:multiLevelType w:val="multilevel"/>
    <w:tmpl w:val="3185049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4F2E6A32"/>
    <w:multiLevelType w:val="multilevel"/>
    <w:tmpl w:val="4F2E6A3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5A5F38FC"/>
    <w:multiLevelType w:val="multilevel"/>
    <w:tmpl w:val="5A5F38FC"/>
    <w:lvl w:ilvl="0" w:tentative="0">
      <w:start w:val="1"/>
      <w:numFmt w:val="decimal"/>
      <w:lvlText w:val="%1."/>
      <w:lvlJc w:val="left"/>
      <w:pPr>
        <w:ind w:left="720" w:hanging="360"/>
      </w:pPr>
      <w:rPr>
        <w:rFonts w:hint="default"/>
      </w:rPr>
    </w:lvl>
    <w:lvl w:ilvl="1" w:tentative="0">
      <w:start w:val="1"/>
      <w:numFmt w:val="lowerLetter"/>
      <w:lvlText w:val="%2)"/>
      <w:lvlJc w:val="left"/>
      <w:pPr>
        <w:ind w:left="1240" w:hanging="440"/>
      </w:pPr>
    </w:lvl>
    <w:lvl w:ilvl="2" w:tentative="0">
      <w:start w:val="1"/>
      <w:numFmt w:val="lowerRoman"/>
      <w:lvlText w:val="%3."/>
      <w:lvlJc w:val="right"/>
      <w:pPr>
        <w:ind w:left="1680" w:hanging="440"/>
      </w:pPr>
    </w:lvl>
    <w:lvl w:ilvl="3" w:tentative="0">
      <w:start w:val="1"/>
      <w:numFmt w:val="decimal"/>
      <w:lvlText w:val="%4."/>
      <w:lvlJc w:val="left"/>
      <w:pPr>
        <w:ind w:left="2120" w:hanging="440"/>
      </w:pPr>
    </w:lvl>
    <w:lvl w:ilvl="4" w:tentative="0">
      <w:start w:val="1"/>
      <w:numFmt w:val="lowerLetter"/>
      <w:lvlText w:val="%5)"/>
      <w:lvlJc w:val="left"/>
      <w:pPr>
        <w:ind w:left="2560" w:hanging="440"/>
      </w:pPr>
    </w:lvl>
    <w:lvl w:ilvl="5" w:tentative="0">
      <w:start w:val="1"/>
      <w:numFmt w:val="lowerRoman"/>
      <w:lvlText w:val="%6."/>
      <w:lvlJc w:val="right"/>
      <w:pPr>
        <w:ind w:left="3000" w:hanging="440"/>
      </w:pPr>
    </w:lvl>
    <w:lvl w:ilvl="6" w:tentative="0">
      <w:start w:val="1"/>
      <w:numFmt w:val="decimal"/>
      <w:lvlText w:val="%7."/>
      <w:lvlJc w:val="left"/>
      <w:pPr>
        <w:ind w:left="3440" w:hanging="440"/>
      </w:pPr>
    </w:lvl>
    <w:lvl w:ilvl="7" w:tentative="0">
      <w:start w:val="1"/>
      <w:numFmt w:val="lowerLetter"/>
      <w:lvlText w:val="%8)"/>
      <w:lvlJc w:val="left"/>
      <w:pPr>
        <w:ind w:left="3880" w:hanging="440"/>
      </w:pPr>
    </w:lvl>
    <w:lvl w:ilvl="8" w:tentative="0">
      <w:start w:val="1"/>
      <w:numFmt w:val="lowerRoman"/>
      <w:lvlText w:val="%9."/>
      <w:lvlJc w:val="right"/>
      <w:pPr>
        <w:ind w:left="4320" w:hanging="440"/>
      </w:pPr>
    </w:lvl>
  </w:abstractNum>
  <w:abstractNum w:abstractNumId="6">
    <w:nsid w:val="5EC56E50"/>
    <w:multiLevelType w:val="multilevel"/>
    <w:tmpl w:val="5EC56E50"/>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64974375"/>
    <w:multiLevelType w:val="multilevel"/>
    <w:tmpl w:val="6497437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670A44CF"/>
    <w:multiLevelType w:val="multilevel"/>
    <w:tmpl w:val="670A44C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6E7976FD"/>
    <w:multiLevelType w:val="multilevel"/>
    <w:tmpl w:val="6E7976FD"/>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7"/>
  </w:num>
  <w:num w:numId="3">
    <w:abstractNumId w:val="2"/>
  </w:num>
  <w:num w:numId="4">
    <w:abstractNumId w:val="5"/>
  </w:num>
  <w:num w:numId="5">
    <w:abstractNumId w:val="9"/>
  </w:num>
  <w:num w:numId="6">
    <w:abstractNumId w:val="8"/>
  </w:num>
  <w:num w:numId="7">
    <w:abstractNumId w:val="6"/>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mOWVhZDZmNjMxNGRhNTYxZGExMjNjOTY4YjQxODIifQ=="/>
  </w:docVars>
  <w:rsids>
    <w:rsidRoot w:val="00362D55"/>
    <w:rsid w:val="00016B48"/>
    <w:rsid w:val="00024788"/>
    <w:rsid w:val="000449B4"/>
    <w:rsid w:val="000F3B24"/>
    <w:rsid w:val="00121272"/>
    <w:rsid w:val="00147BD3"/>
    <w:rsid w:val="00180F8D"/>
    <w:rsid w:val="001C6D64"/>
    <w:rsid w:val="001D3BF4"/>
    <w:rsid w:val="002401E4"/>
    <w:rsid w:val="00246D12"/>
    <w:rsid w:val="002631D1"/>
    <w:rsid w:val="0026636E"/>
    <w:rsid w:val="00291AE3"/>
    <w:rsid w:val="002A25CA"/>
    <w:rsid w:val="002B0135"/>
    <w:rsid w:val="002E1EF4"/>
    <w:rsid w:val="002F7FC0"/>
    <w:rsid w:val="00346E21"/>
    <w:rsid w:val="00362D55"/>
    <w:rsid w:val="00382FFB"/>
    <w:rsid w:val="003B4316"/>
    <w:rsid w:val="003B77FA"/>
    <w:rsid w:val="003E2FBC"/>
    <w:rsid w:val="003F2BCC"/>
    <w:rsid w:val="00435CD4"/>
    <w:rsid w:val="004447A5"/>
    <w:rsid w:val="004B4A09"/>
    <w:rsid w:val="004B57ED"/>
    <w:rsid w:val="004D4810"/>
    <w:rsid w:val="004D5201"/>
    <w:rsid w:val="00574750"/>
    <w:rsid w:val="005B0948"/>
    <w:rsid w:val="00696769"/>
    <w:rsid w:val="006B0AFE"/>
    <w:rsid w:val="006D6972"/>
    <w:rsid w:val="00706FAB"/>
    <w:rsid w:val="00805171"/>
    <w:rsid w:val="00831863"/>
    <w:rsid w:val="00833C0D"/>
    <w:rsid w:val="00897CC8"/>
    <w:rsid w:val="008B5C8A"/>
    <w:rsid w:val="008F7E2B"/>
    <w:rsid w:val="00910B16"/>
    <w:rsid w:val="00941654"/>
    <w:rsid w:val="009600CE"/>
    <w:rsid w:val="0098366F"/>
    <w:rsid w:val="00983CDE"/>
    <w:rsid w:val="009C2202"/>
    <w:rsid w:val="00A87E64"/>
    <w:rsid w:val="00AB5B22"/>
    <w:rsid w:val="00AD766F"/>
    <w:rsid w:val="00B36076"/>
    <w:rsid w:val="00B449D5"/>
    <w:rsid w:val="00B91DB0"/>
    <w:rsid w:val="00BB6E43"/>
    <w:rsid w:val="00C00B32"/>
    <w:rsid w:val="00C144F4"/>
    <w:rsid w:val="00C31B25"/>
    <w:rsid w:val="00C86618"/>
    <w:rsid w:val="00C9689D"/>
    <w:rsid w:val="00CB0EF5"/>
    <w:rsid w:val="00D22F9D"/>
    <w:rsid w:val="00D258B3"/>
    <w:rsid w:val="00D521B8"/>
    <w:rsid w:val="00DE6EBA"/>
    <w:rsid w:val="00E258A7"/>
    <w:rsid w:val="00F600B4"/>
    <w:rsid w:val="00F65C03"/>
    <w:rsid w:val="00F714F8"/>
    <w:rsid w:val="00F82730"/>
    <w:rsid w:val="00FA279B"/>
    <w:rsid w:val="00FD4F93"/>
    <w:rsid w:val="00FD6428"/>
    <w:rsid w:val="00FE06CA"/>
    <w:rsid w:val="00FF2077"/>
    <w:rsid w:val="01B51755"/>
    <w:rsid w:val="05126ADD"/>
    <w:rsid w:val="07520C39"/>
    <w:rsid w:val="081128A2"/>
    <w:rsid w:val="18BE106E"/>
    <w:rsid w:val="1CB62639"/>
    <w:rsid w:val="290D4B5D"/>
    <w:rsid w:val="313F7B8D"/>
    <w:rsid w:val="32F57AD7"/>
    <w:rsid w:val="379A2274"/>
    <w:rsid w:val="3D4464BA"/>
    <w:rsid w:val="40346AE6"/>
    <w:rsid w:val="50DB6B76"/>
    <w:rsid w:val="518F341F"/>
    <w:rsid w:val="54C50ADF"/>
    <w:rsid w:val="562723A5"/>
    <w:rsid w:val="576715CE"/>
    <w:rsid w:val="591C3719"/>
    <w:rsid w:val="62EC43B5"/>
    <w:rsid w:val="68DB1B8C"/>
    <w:rsid w:val="6E364544"/>
    <w:rsid w:val="728D1B9B"/>
    <w:rsid w:val="76C3362B"/>
    <w:rsid w:val="7EF54394"/>
    <w:rsid w:val="7F80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rPr>
      <w:rFonts w:ascii="Times New Roman" w:hAnsi="宋体" w:eastAsia="宋体" w:cs="宋体"/>
      <w:kern w:val="0"/>
      <w:szCs w:val="20"/>
      <w14:ligatures w14:val="none"/>
    </w:rPr>
  </w:style>
  <w:style w:type="paragraph" w:styleId="3">
    <w:name w:val="Plain Text"/>
    <w:basedOn w:val="1"/>
    <w:qFormat/>
    <w:uiPriority w:val="0"/>
    <w:rPr>
      <w:rFonts w:ascii="宋体" w:hAnsi="Courier New" w:cs="Courier New"/>
      <w:szCs w:val="21"/>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qFormat/>
    <w:uiPriority w:val="0"/>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文字 字符"/>
    <w:basedOn w:val="8"/>
    <w:link w:val="2"/>
    <w:qFormat/>
    <w:uiPriority w:val="0"/>
    <w:rPr>
      <w:rFonts w:ascii="Times New Roman" w:hAnsi="宋体" w:eastAsia="宋体" w:cs="宋体"/>
      <w:sz w:val="21"/>
    </w:rPr>
  </w:style>
  <w:style w:type="table" w:customStyle="1" w:styleId="14">
    <w:name w:val="Grid Table 5 Dark Accent 5"/>
    <w:basedOn w:val="6"/>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3775</Words>
  <Characters>3944</Characters>
  <Lines>29</Lines>
  <Paragraphs>8</Paragraphs>
  <TotalTime>292</TotalTime>
  <ScaleCrop>false</ScaleCrop>
  <LinksUpToDate>false</LinksUpToDate>
  <CharactersWithSpaces>4043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2024-04-25T05:29:00Z</dcterms:created>
  <dc:creator>法务</dc:creator>
  <cp:lastModifiedBy>法务</cp:lastModifiedBy>
  <dcterms:modified xsi:type="dcterms:W3CDTF">2024-05-20T08:31:58Z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6288278621AC402283BBBE3959F46E3B_12</vt:lpwstr>
  </property>
</Properties>
</file>